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2"/>
        <w:tblW w:w="18124" w:type="dxa"/>
        <w:tblInd w:w="-321" w:type="dxa"/>
        <w:tblLayout w:type="fixed"/>
        <w:tblCellMar>
          <w:top w:w="0" w:type="dxa"/>
          <w:left w:w="0" w:type="dxa"/>
          <w:bottom w:w="0" w:type="dxa"/>
          <w:right w:w="0" w:type="dxa"/>
        </w:tblCellMar>
      </w:tblPr>
      <w:tblGrid>
        <w:gridCol w:w="9049"/>
        <w:gridCol w:w="9075"/>
      </w:tblGrid>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26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48"/>
                <w:szCs w:val="48"/>
              </w:rPr>
            </w:pPr>
          </w:p>
        </w:tc>
      </w:tr>
      <w:tr>
        <w:tblPrEx>
          <w:tblLayout w:type="fixed"/>
          <w:tblCellMar>
            <w:top w:w="0" w:type="dxa"/>
            <w:left w:w="0" w:type="dxa"/>
            <w:bottom w:w="0" w:type="dxa"/>
            <w:right w:w="0" w:type="dxa"/>
          </w:tblCellMar>
        </w:tblPrEx>
        <w:trPr>
          <w:trHeight w:val="70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关于“自助售货机售卖投放服务采购项目”询价通知书</w:t>
            </w:r>
          </w:p>
          <w:p>
            <w:pPr>
              <w:widowControl/>
              <w:jc w:val="center"/>
              <w:textAlignment w:val="center"/>
              <w:rPr>
                <w:rFonts w:hint="eastAsia" w:ascii="宋体" w:hAnsi="宋体" w:eastAsia="宋体" w:cs="宋体"/>
                <w:color w:val="000000"/>
                <w:kern w:val="0"/>
                <w:sz w:val="36"/>
                <w:szCs w:val="36"/>
              </w:rPr>
            </w:pP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大邑县妇幼保健院（采购人）拟对关于“自助售货机售卖投放服务采购项目”以询价</w:t>
            </w:r>
            <w:bookmarkStart w:id="0" w:name="OLE_LINK1"/>
            <w:bookmarkStart w:id="1" w:name="OLE_LINK2"/>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57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宋体" w:hAnsi="宋体" w:eastAsia="宋体" w:cs="宋体"/>
                <w:color w:val="000000"/>
                <w:kern w:val="0"/>
                <w:sz w:val="28"/>
                <w:szCs w:val="28"/>
                <w:lang w:val="en-US" w:eastAsia="zh-CN"/>
              </w:rPr>
              <w:t>DYBJY</w:t>
            </w:r>
            <w:r>
              <w:rPr>
                <w:rFonts w:hint="default" w:ascii="宋体" w:hAnsi="宋体" w:eastAsia="宋体" w:cs="宋体"/>
                <w:color w:val="000000"/>
                <w:kern w:val="0"/>
                <w:sz w:val="28"/>
                <w:szCs w:val="28"/>
                <w:lang w:val="en-US" w:eastAsia="zh-CN"/>
              </w:rPr>
              <w:t>20</w:t>
            </w:r>
            <w:r>
              <w:rPr>
                <w:rFonts w:hint="eastAsia" w:ascii="宋体" w:hAnsi="宋体" w:eastAsia="宋体" w:cs="宋体"/>
                <w:color w:val="000000"/>
                <w:kern w:val="0"/>
                <w:sz w:val="28"/>
                <w:szCs w:val="28"/>
                <w:lang w:val="en-US" w:eastAsia="zh-CN"/>
              </w:rPr>
              <w:t>26101903</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项目名称：</w:t>
            </w:r>
            <w:r>
              <w:rPr>
                <w:rFonts w:hint="eastAsia" w:ascii="宋体" w:hAnsi="宋体" w:eastAsia="宋体" w:cs="宋体"/>
                <w:color w:val="000000"/>
                <w:kern w:val="0"/>
                <w:sz w:val="28"/>
                <w:szCs w:val="28"/>
                <w:lang w:val="en-US" w:eastAsia="zh-CN"/>
              </w:rPr>
              <w:t>自助售货机售卖投放服务采购项目</w:t>
            </w:r>
          </w:p>
          <w:p>
            <w:pPr>
              <w:widowControl/>
              <w:numPr>
                <w:ilvl w:val="0"/>
                <w:numId w:val="0"/>
              </w:numPr>
              <w:jc w:val="left"/>
              <w:textAlignment w:val="center"/>
              <w:rPr>
                <w:rFonts w:hint="default" w:eastAsiaTheme="minorEastAsia"/>
                <w:lang w:val="en-US" w:eastAsia="zh-CN"/>
              </w:rPr>
            </w:pPr>
            <w:r>
              <w:rPr>
                <w:rFonts w:hint="eastAsia" w:ascii="宋体" w:hAnsi="宋体" w:eastAsia="宋体" w:cs="宋体"/>
                <w:color w:val="000000"/>
                <w:kern w:val="0"/>
                <w:sz w:val="28"/>
                <w:szCs w:val="28"/>
                <w:lang w:val="en-US" w:eastAsia="zh-CN"/>
              </w:rPr>
              <w:t>三、服务期限：3年，合同一年一签。</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spacing w:line="504" w:lineRule="auto"/>
              <w:jc w:val="left"/>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lang w:val="en-US" w:eastAsia="zh-CN"/>
              </w:rPr>
              <w:t>四、</w:t>
            </w:r>
            <w:r>
              <w:rPr>
                <w:rFonts w:hint="eastAsia" w:ascii="宋体" w:hAnsi="宋体" w:eastAsia="宋体" w:cs="宋体"/>
                <w:color w:val="000000"/>
                <w:kern w:val="0"/>
                <w:sz w:val="28"/>
                <w:szCs w:val="28"/>
              </w:rPr>
              <w:t>预算金额（最高限价）：</w:t>
            </w:r>
            <w:r>
              <w:rPr>
                <w:rFonts w:hint="eastAsia" w:ascii="宋体" w:hAnsi="宋体" w:eastAsia="宋体" w:cs="宋体"/>
                <w:color w:val="000000"/>
                <w:kern w:val="0"/>
                <w:sz w:val="28"/>
                <w:szCs w:val="28"/>
                <w:lang w:val="en-US" w:eastAsia="zh-CN"/>
              </w:rPr>
              <w:t>招标控制单价不低于</w:t>
            </w:r>
            <w:r>
              <w:rPr>
                <w:rFonts w:hint="eastAsia" w:ascii="宋体" w:hAnsi="宋体" w:eastAsia="宋体" w:cs="宋体"/>
                <w:b/>
                <w:bCs/>
                <w:color w:val="000000"/>
                <w:kern w:val="0"/>
                <w:sz w:val="28"/>
                <w:szCs w:val="28"/>
                <w:lang w:val="en-US" w:eastAsia="zh-CN"/>
              </w:rPr>
              <w:t>500</w:t>
            </w:r>
            <w:r>
              <w:rPr>
                <w:rFonts w:hint="eastAsia" w:ascii="宋体" w:hAnsi="宋体" w:eastAsia="宋体" w:cs="宋体"/>
                <w:color w:val="000000"/>
                <w:kern w:val="0"/>
                <w:sz w:val="28"/>
                <w:szCs w:val="28"/>
                <w:lang w:val="en-US" w:eastAsia="zh-CN"/>
              </w:rPr>
              <w:t>元/点位/月；全院拟投放 5 个点位，项目年度结算总金额不低于 30000 元 / 年。后续如需新增投放点位，新增点位费按本项目成交合同单价执行。报价表详见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6"/>
              <w:numPr>
                <w:ilvl w:val="0"/>
                <w:numId w:val="0"/>
              </w:numPr>
              <w:ind w:leftChars="0"/>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五、采购需求：</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3300"/>
              <w:gridCol w:w="3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3300" w:type="dxa"/>
                  <w:noWrap w:val="0"/>
                  <w:vAlign w:val="top"/>
                </w:tcPr>
                <w:p>
                  <w:pPr>
                    <w:numPr>
                      <w:ilvl w:val="0"/>
                      <w:numId w:val="0"/>
                    </w:numPr>
                    <w:ind w:firstLine="480" w:firstLineChars="2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采购要素</w:t>
                  </w:r>
                </w:p>
              </w:tc>
              <w:tc>
                <w:tcPr>
                  <w:tcW w:w="3998" w:type="dxa"/>
                  <w:noWrap w:val="0"/>
                  <w:vAlign w:val="top"/>
                </w:tcPr>
                <w:p>
                  <w:pPr>
                    <w:numPr>
                      <w:ilvl w:val="0"/>
                      <w:numId w:val="0"/>
                    </w:numPr>
                    <w:ind w:firstLine="480" w:firstLineChars="2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采购目标与用途</w:t>
                  </w:r>
                </w:p>
              </w:tc>
              <w:tc>
                <w:tcPr>
                  <w:tcW w:w="3998" w:type="dxa"/>
                  <w:noWrap w:val="0"/>
                  <w:vAlign w:val="top"/>
                </w:tcPr>
                <w:p>
                  <w:pPr>
                    <w:numPr>
                      <w:ilvl w:val="0"/>
                      <w:numId w:val="0"/>
                    </w:numP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一、采购目标</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1.保障临床取用：采购符合医疗规范的医用耗材自动售货机，实现医用耗材自助申领、24小时取用，解决夜间、节假日急诊耗材领用不便的痛点，保障临床救治连续性。</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二、用途</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1.自助领用：部署在急诊、病区、护士站附近，供医务人员、患者自助取用一次性医用耗材，随用随取。</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2.全流程追溯管理：每一笔领用自动记录领用人、领用时间、耗材名称、规格、数量，形成电子台账，用于院内质控检查、审计、医保核查。</w:t>
                  </w:r>
                  <w:r>
                    <w:rPr>
                      <w:rFonts w:hint="eastAsia" w:ascii="仿宋" w:hAnsi="仿宋" w:eastAsia="仿宋" w:cs="仿宋"/>
                      <w:color w:val="auto"/>
                      <w:sz w:val="24"/>
                      <w:szCs w:val="24"/>
                      <w:vertAlign w:val="baseline"/>
                      <w:lang w:val="en-US" w:eastAsia="zh-CN"/>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功能性能/服务要求</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一、参数要求：</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1.商品有合格证书</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2.自助售货机中所售卖所有产品应让顾客可视。</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3.设备应美观大方。</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4.设备满足微信、支付宝支付功能</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二、服务要求：</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1.设备安装地点由医院进行指定。</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2.应安排人员进行日常维护和商品补充。</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3.机器故障应在8小时内进行处置，紧急情况应在2小时内进行处置。</w:t>
                  </w:r>
                </w:p>
                <w:p>
                  <w:pPr>
                    <w:numPr>
                      <w:ilvl w:val="0"/>
                      <w:numId w:val="0"/>
                    </w:numPr>
                    <w:rPr>
                      <w:rFonts w:hint="eastAsia" w:ascii="仿宋" w:hAnsi="仿宋" w:eastAsia="仿宋" w:cs="仿宋"/>
                      <w:color w:val="auto"/>
                      <w:sz w:val="24"/>
                      <w:szCs w:val="24"/>
                      <w:vertAlign w:val="baseline"/>
                      <w:lang w:val="en-US" w:eastAsia="zh-CN"/>
                    </w:rPr>
                  </w:pPr>
                </w:p>
                <w:p>
                  <w:pPr>
                    <w:numPr>
                      <w:ilvl w:val="0"/>
                      <w:numId w:val="0"/>
                    </w:numPr>
                    <w:rPr>
                      <w:rFonts w:hint="eastAsia" w:ascii="仿宋" w:hAnsi="仿宋" w:eastAsia="仿宋" w:cs="仿宋"/>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数量</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 xml:space="preserve">拟定5个点位，最终数量以院方根据需求确认为准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商务要求</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1.投标人须为在中华人民共和国境内注册，能够独立承担民事责任的法人。</w:t>
                  </w:r>
                </w:p>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2.投标人须提供有效的营业执照；由授权代表参加投标的，须提供法定代表人授权书、授权代表身份证。</w:t>
                  </w:r>
                </w:p>
                <w:p>
                  <w:pPr>
                    <w:numPr>
                      <w:ilvl w:val="0"/>
                      <w:numId w:val="0"/>
                    </w:numPr>
                    <w:rPr>
                      <w:rFonts w:hint="default" w:ascii="仿宋" w:hAnsi="仿宋" w:eastAsia="仿宋" w:cs="仿宋"/>
                      <w:color w:val="auto"/>
                      <w:sz w:val="24"/>
                      <w:szCs w:val="24"/>
                      <w:vertAlign w:val="baseline"/>
                      <w:lang w:val="en-US" w:eastAsia="zh-CN"/>
                    </w:rPr>
                  </w:pPr>
                </w:p>
              </w:tc>
            </w:tr>
          </w:tbl>
          <w:p>
            <w:pPr>
              <w:numPr>
                <w:ilvl w:val="0"/>
                <w:numId w:val="0"/>
              </w:numPr>
              <w:rPr>
                <w:rFonts w:hint="default"/>
                <w:lang w:val="en-US" w:eastAsia="zh-CN"/>
              </w:rPr>
            </w:pPr>
          </w:p>
        </w:tc>
        <w:tc>
          <w:tcPr>
            <w:tcW w:w="9075" w:type="dxa"/>
            <w:tcBorders>
              <w:top w:val="nil"/>
              <w:left w:val="nil"/>
              <w:bottom w:val="nil"/>
              <w:right w:val="nil"/>
            </w:tcBorders>
            <w:shd w:val="clear" w:color="auto" w:fill="auto"/>
            <w:tcMar>
              <w:top w:w="15" w:type="dxa"/>
              <w:left w:w="15" w:type="dxa"/>
              <w:right w:w="15" w:type="dxa"/>
            </w:tcMar>
            <w:vAlign w:val="center"/>
          </w:tcPr>
          <w:p>
            <w:pPr>
              <w:numPr>
                <w:ilvl w:val="0"/>
                <w:numId w:val="0"/>
              </w:numPr>
              <w:rPr>
                <w:rFonts w:hint="eastAsia" w:ascii="仿宋" w:hAnsi="仿宋" w:eastAsia="仿宋" w:cs="仿宋"/>
                <w:color w:val="auto"/>
                <w:sz w:val="24"/>
                <w:szCs w:val="24"/>
                <w:vertAlign w:val="baseline"/>
                <w:lang w:val="en-US" w:eastAsia="zh-CN"/>
              </w:rPr>
            </w:pPr>
          </w:p>
        </w:tc>
      </w:tr>
      <w:tr>
        <w:tblPrEx>
          <w:tblLayout w:type="fixed"/>
          <w:tblCellMar>
            <w:top w:w="0" w:type="dxa"/>
            <w:left w:w="0" w:type="dxa"/>
            <w:bottom w:w="0" w:type="dxa"/>
            <w:right w:w="0" w:type="dxa"/>
          </w:tblCellMar>
        </w:tblPrEx>
        <w:trPr>
          <w:trHeight w:val="52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六</w:t>
            </w:r>
            <w:r>
              <w:rPr>
                <w:rFonts w:hint="eastAsia" w:ascii="宋体" w:hAnsi="宋体" w:eastAsia="宋体" w:cs="宋体"/>
                <w:color w:val="000000"/>
                <w:kern w:val="0"/>
                <w:sz w:val="28"/>
                <w:szCs w:val="28"/>
              </w:rPr>
              <w:t>、响应人参加询价应当具备的资格条件：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lang w:val="en-US" w:eastAsia="zh-CN"/>
              </w:rPr>
              <w:t>七</w:t>
            </w:r>
            <w:r>
              <w:rPr>
                <w:rFonts w:hint="eastAsia" w:ascii="宋体" w:hAnsi="宋体" w:eastAsia="宋体" w:cs="宋体"/>
                <w:b/>
                <w:bCs/>
                <w:color w:val="000000"/>
                <w:kern w:val="0"/>
                <w:sz w:val="28"/>
                <w:szCs w:val="28"/>
              </w:rPr>
              <w:t>、响应人参加询价应当提供的资格证明材料（均需加盖单位公章）：</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b/>
                <w:bCs/>
                <w:color w:val="000000"/>
                <w:kern w:val="0"/>
                <w:sz w:val="28"/>
                <w:szCs w:val="28"/>
              </w:rPr>
            </w:pPr>
          </w:p>
        </w:tc>
      </w:tr>
      <w:tr>
        <w:tblPrEx>
          <w:tblLayout w:type="fixed"/>
          <w:tblCellMar>
            <w:top w:w="0" w:type="dxa"/>
            <w:left w:w="0" w:type="dxa"/>
            <w:bottom w:w="0" w:type="dxa"/>
            <w:right w:w="0" w:type="dxa"/>
          </w:tblCellMar>
        </w:tblPrEx>
        <w:trPr>
          <w:trHeight w:val="49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八</w:t>
            </w:r>
            <w:r>
              <w:rPr>
                <w:rFonts w:hint="eastAsia" w:ascii="宋体" w:hAnsi="宋体" w:eastAsia="宋体" w:cs="宋体"/>
                <w:color w:val="000000"/>
                <w:kern w:val="0"/>
                <w:sz w:val="28"/>
                <w:szCs w:val="28"/>
              </w:rPr>
              <w:t>、报名时间及地点：</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2"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19</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22</w:t>
            </w:r>
            <w:r>
              <w:rPr>
                <w:rFonts w:hint="eastAsia" w:ascii="宋体" w:hAnsi="宋体" w:eastAsia="宋体" w:cs="宋体"/>
                <w:color w:val="000000"/>
                <w:kern w:val="0"/>
                <w:sz w:val="28"/>
                <w:szCs w:val="28"/>
              </w:rPr>
              <w:t>日，上午08：30-下午17：00（北京时间）。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7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九</w:t>
            </w:r>
            <w:r>
              <w:rPr>
                <w:rFonts w:hint="eastAsia" w:ascii="宋体" w:hAnsi="宋体" w:eastAsia="宋体" w:cs="宋体"/>
                <w:color w:val="000000"/>
                <w:kern w:val="0"/>
                <w:sz w:val="28"/>
                <w:szCs w:val="28"/>
              </w:rPr>
              <w:t>、递交响应文件截止时间：2026年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22</w:t>
            </w:r>
            <w:r>
              <w:rPr>
                <w:rFonts w:hint="eastAsia" w:ascii="宋体" w:hAnsi="宋体" w:eastAsia="宋体" w:cs="宋体"/>
                <w:color w:val="000000"/>
                <w:kern w:val="0"/>
                <w:sz w:val="28"/>
                <w:szCs w:val="28"/>
              </w:rPr>
              <w:t>日下午17:00（北京时间）。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十</w:t>
            </w:r>
            <w:r>
              <w:rPr>
                <w:rFonts w:hint="eastAsia" w:ascii="宋体" w:hAnsi="宋体" w:eastAsia="宋体" w:cs="宋体"/>
                <w:color w:val="000000"/>
                <w:kern w:val="0"/>
                <w:sz w:val="28"/>
                <w:szCs w:val="28"/>
              </w:rPr>
              <w:t>、递交响应文件地点：响应文件必须在递交响应文件截止时间前送达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w:t>
            </w:r>
            <w:r>
              <w:rPr>
                <w:rFonts w:hint="eastAsia" w:ascii="宋体" w:hAnsi="宋体" w:eastAsia="宋体" w:cs="宋体"/>
                <w:color w:val="000000"/>
                <w:kern w:val="0"/>
                <w:sz w:val="28"/>
                <w:szCs w:val="28"/>
                <w:lang w:val="en-US" w:eastAsia="zh-CN"/>
              </w:rPr>
              <w:t>邑县妇幼保健院综合楼二楼采购管理办</w:t>
            </w:r>
            <w:r>
              <w:rPr>
                <w:rFonts w:hint="eastAsia" w:ascii="宋体" w:hAnsi="宋体" w:eastAsia="宋体" w:cs="宋体"/>
                <w:color w:val="000000"/>
                <w:kern w:val="0"/>
                <w:sz w:val="28"/>
                <w:szCs w:val="28"/>
              </w:rPr>
              <w:t>。逾期送达、未密封和标注错误的响应文件，恕不接收。本次采购接收邮寄的响应文件。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一</w:t>
            </w:r>
            <w:r>
              <w:rPr>
                <w:rFonts w:hint="eastAsia" w:ascii="宋体" w:hAnsi="宋体" w:eastAsia="宋体" w:cs="宋体"/>
                <w:color w:val="000000"/>
                <w:kern w:val="0"/>
                <w:sz w:val="28"/>
                <w:szCs w:val="28"/>
              </w:rPr>
              <w:t>、评审时间：采购人根据实际情况确定评审时间。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6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二</w:t>
            </w:r>
            <w:r>
              <w:rPr>
                <w:rFonts w:hint="eastAsia" w:ascii="宋体" w:hAnsi="宋体" w:eastAsia="宋体" w:cs="宋体"/>
                <w:color w:val="000000"/>
                <w:kern w:val="0"/>
                <w:sz w:val="28"/>
                <w:szCs w:val="28"/>
              </w:rPr>
              <w:t>、联系人及联系电话：</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自助售货机售卖投放服务采购项目</w:t>
            </w:r>
            <w:r>
              <w:rPr>
                <w:rFonts w:hint="eastAsia" w:ascii="黑体" w:hAnsi="宋体" w:eastAsia="黑体" w:cs="黑体"/>
                <w:color w:val="000000"/>
                <w:kern w:val="0"/>
                <w:sz w:val="48"/>
                <w:szCs w:val="48"/>
              </w:rPr>
              <w:t>”报价函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tbl>
            <w:tblPr>
              <w:tblStyle w:val="13"/>
              <w:tblpPr w:leftFromText="180" w:rightFromText="180" w:vertAnchor="text" w:horzAnchor="page" w:tblpX="88" w:tblpY="493"/>
              <w:tblOverlap w:val="never"/>
              <w:tblW w:w="7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707"/>
              <w:gridCol w:w="2765"/>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1707"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1707"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765"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报价（元</w:t>
                  </w:r>
                  <w:r>
                    <w:rPr>
                      <w:rFonts w:hint="eastAsia" w:ascii="黑体" w:hAnsi="宋体" w:eastAsia="黑体" w:cs="黑体"/>
                      <w:color w:val="000000"/>
                      <w:sz w:val="32"/>
                      <w:szCs w:val="32"/>
                      <w:lang w:val="en-US" w:eastAsia="zh-CN"/>
                    </w:rPr>
                    <w:t>/点位/月</w:t>
                  </w:r>
                  <w:r>
                    <w:rPr>
                      <w:rFonts w:hint="eastAsia" w:ascii="黑体" w:hAnsi="宋体" w:eastAsia="黑体" w:cs="黑体"/>
                      <w:color w:val="000000"/>
                      <w:sz w:val="32"/>
                      <w:szCs w:val="32"/>
                    </w:rPr>
                    <w:t>）</w:t>
                  </w:r>
                </w:p>
              </w:tc>
              <w:tc>
                <w:tcPr>
                  <w:tcW w:w="1799"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1707" w:type="dxa"/>
                </w:tcPr>
                <w:p>
                  <w:pPr>
                    <w:widowControl/>
                    <w:jc w:val="left"/>
                    <w:textAlignment w:val="center"/>
                    <w:rPr>
                      <w:rFonts w:ascii="黑体" w:hAnsi="宋体" w:eastAsia="黑体" w:cs="黑体"/>
                      <w:color w:val="000000"/>
                      <w:sz w:val="32"/>
                      <w:szCs w:val="32"/>
                    </w:rPr>
                  </w:pPr>
                </w:p>
              </w:tc>
              <w:tc>
                <w:tcPr>
                  <w:tcW w:w="1707" w:type="dxa"/>
                </w:tcPr>
                <w:p>
                  <w:pPr>
                    <w:widowControl/>
                    <w:jc w:val="left"/>
                    <w:textAlignment w:val="center"/>
                    <w:rPr>
                      <w:rFonts w:ascii="黑体" w:hAnsi="宋体" w:eastAsia="黑体" w:cs="黑体"/>
                      <w:color w:val="000000"/>
                      <w:sz w:val="32"/>
                      <w:szCs w:val="32"/>
                    </w:rPr>
                  </w:pPr>
                </w:p>
              </w:tc>
              <w:tc>
                <w:tcPr>
                  <w:tcW w:w="2765" w:type="dxa"/>
                </w:tcPr>
                <w:p>
                  <w:pPr>
                    <w:widowControl/>
                    <w:jc w:val="left"/>
                    <w:textAlignment w:val="center"/>
                    <w:rPr>
                      <w:rFonts w:ascii="黑体" w:hAnsi="宋体" w:eastAsia="黑体" w:cs="黑体"/>
                      <w:color w:val="000000"/>
                      <w:sz w:val="32"/>
                      <w:szCs w:val="32"/>
                    </w:rPr>
                  </w:pPr>
                </w:p>
              </w:tc>
              <w:tc>
                <w:tcPr>
                  <w:tcW w:w="1799"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1707" w:type="dxa"/>
                </w:tcPr>
                <w:p>
                  <w:pPr>
                    <w:widowControl/>
                    <w:jc w:val="left"/>
                    <w:textAlignment w:val="center"/>
                    <w:rPr>
                      <w:rFonts w:ascii="黑体" w:hAnsi="宋体" w:eastAsia="黑体" w:cs="黑体"/>
                      <w:color w:val="000000"/>
                      <w:sz w:val="32"/>
                      <w:szCs w:val="32"/>
                    </w:rPr>
                  </w:pPr>
                </w:p>
              </w:tc>
              <w:tc>
                <w:tcPr>
                  <w:tcW w:w="1707" w:type="dxa"/>
                </w:tcPr>
                <w:p>
                  <w:pPr>
                    <w:widowControl/>
                    <w:jc w:val="left"/>
                    <w:textAlignment w:val="center"/>
                    <w:rPr>
                      <w:rFonts w:ascii="黑体" w:hAnsi="宋体" w:eastAsia="黑体" w:cs="黑体"/>
                      <w:color w:val="000000"/>
                      <w:sz w:val="32"/>
                      <w:szCs w:val="32"/>
                    </w:rPr>
                  </w:pPr>
                </w:p>
              </w:tc>
              <w:tc>
                <w:tcPr>
                  <w:tcW w:w="2765" w:type="dxa"/>
                </w:tcPr>
                <w:p>
                  <w:pPr>
                    <w:widowControl/>
                    <w:jc w:val="left"/>
                    <w:textAlignment w:val="center"/>
                    <w:rPr>
                      <w:rFonts w:ascii="黑体" w:hAnsi="宋体" w:eastAsia="黑体" w:cs="黑体"/>
                      <w:color w:val="000000"/>
                      <w:sz w:val="32"/>
                      <w:szCs w:val="32"/>
                    </w:rPr>
                  </w:pPr>
                </w:p>
              </w:tc>
              <w:tc>
                <w:tcPr>
                  <w:tcW w:w="1799"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1707" w:type="dxa"/>
                </w:tcPr>
                <w:p>
                  <w:pPr>
                    <w:widowControl/>
                    <w:jc w:val="left"/>
                    <w:textAlignment w:val="center"/>
                    <w:rPr>
                      <w:rFonts w:ascii="黑体" w:hAnsi="宋体" w:eastAsia="黑体" w:cs="黑体"/>
                      <w:color w:val="000000"/>
                      <w:sz w:val="32"/>
                      <w:szCs w:val="32"/>
                    </w:rPr>
                  </w:pPr>
                </w:p>
              </w:tc>
              <w:tc>
                <w:tcPr>
                  <w:tcW w:w="1707" w:type="dxa"/>
                </w:tcPr>
                <w:p>
                  <w:pPr>
                    <w:widowControl/>
                    <w:jc w:val="left"/>
                    <w:textAlignment w:val="center"/>
                    <w:rPr>
                      <w:rFonts w:ascii="黑体" w:hAnsi="宋体" w:eastAsia="黑体" w:cs="黑体"/>
                      <w:color w:val="000000"/>
                      <w:sz w:val="32"/>
                      <w:szCs w:val="32"/>
                    </w:rPr>
                  </w:pPr>
                </w:p>
              </w:tc>
              <w:tc>
                <w:tcPr>
                  <w:tcW w:w="2765" w:type="dxa"/>
                </w:tcPr>
                <w:p>
                  <w:pPr>
                    <w:widowControl/>
                    <w:jc w:val="left"/>
                    <w:textAlignment w:val="center"/>
                    <w:rPr>
                      <w:rFonts w:ascii="黑体" w:hAnsi="宋体" w:eastAsia="黑体" w:cs="黑体"/>
                      <w:color w:val="000000"/>
                      <w:sz w:val="32"/>
                      <w:szCs w:val="32"/>
                    </w:rPr>
                  </w:pPr>
                </w:p>
              </w:tc>
              <w:tc>
                <w:tcPr>
                  <w:tcW w:w="1799" w:type="dxa"/>
                </w:tcPr>
                <w:p>
                  <w:pPr>
                    <w:widowControl/>
                    <w:jc w:val="left"/>
                    <w:textAlignment w:val="center"/>
                    <w:rPr>
                      <w:rFonts w:ascii="黑体" w:hAnsi="宋体" w:eastAsia="黑体" w:cs="黑体"/>
                      <w:color w:val="000000"/>
                      <w:sz w:val="32"/>
                      <w:szCs w:val="32"/>
                    </w:rPr>
                  </w:pPr>
                </w:p>
              </w:tc>
            </w:tr>
          </w:tbl>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91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bl>
    <w:p/>
    <w:p/>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6"/>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我公司参与“自助售货机售卖投放服务采购项目”现承诺如下：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5"/>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5"/>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8"/>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F0E14"/>
    <w:multiLevelType w:val="singleLevel"/>
    <w:tmpl w:val="945F0E14"/>
    <w:lvl w:ilvl="0" w:tentative="0">
      <w:start w:val="2"/>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5D4972"/>
    <w:rsid w:val="06E6637A"/>
    <w:rsid w:val="07AB7FC1"/>
    <w:rsid w:val="0A434FAB"/>
    <w:rsid w:val="0B910E8A"/>
    <w:rsid w:val="0BCD77FA"/>
    <w:rsid w:val="0C697C98"/>
    <w:rsid w:val="0E4671C2"/>
    <w:rsid w:val="0F6078EB"/>
    <w:rsid w:val="106E15D6"/>
    <w:rsid w:val="10A3389F"/>
    <w:rsid w:val="120F6EB5"/>
    <w:rsid w:val="126E28EB"/>
    <w:rsid w:val="16021B27"/>
    <w:rsid w:val="1655597A"/>
    <w:rsid w:val="1B672D7F"/>
    <w:rsid w:val="1B692164"/>
    <w:rsid w:val="1C6B037B"/>
    <w:rsid w:val="1EB27D85"/>
    <w:rsid w:val="254C6AEF"/>
    <w:rsid w:val="27D13AFF"/>
    <w:rsid w:val="2802590C"/>
    <w:rsid w:val="2964274F"/>
    <w:rsid w:val="2B2A6BDF"/>
    <w:rsid w:val="2B681E27"/>
    <w:rsid w:val="2CE34B65"/>
    <w:rsid w:val="2DEDAD1F"/>
    <w:rsid w:val="321D3602"/>
    <w:rsid w:val="34946B67"/>
    <w:rsid w:val="351C625F"/>
    <w:rsid w:val="36E27470"/>
    <w:rsid w:val="396C52DB"/>
    <w:rsid w:val="3B1B07F7"/>
    <w:rsid w:val="3BF910A8"/>
    <w:rsid w:val="3D5E0D9C"/>
    <w:rsid w:val="3ECF6A2F"/>
    <w:rsid w:val="40196B39"/>
    <w:rsid w:val="407C2EBC"/>
    <w:rsid w:val="40D811E7"/>
    <w:rsid w:val="43B80312"/>
    <w:rsid w:val="4605273C"/>
    <w:rsid w:val="477101D8"/>
    <w:rsid w:val="48117EEB"/>
    <w:rsid w:val="48AF60D1"/>
    <w:rsid w:val="48F60615"/>
    <w:rsid w:val="49DB47E8"/>
    <w:rsid w:val="4B751218"/>
    <w:rsid w:val="4E3849B6"/>
    <w:rsid w:val="4ED101F6"/>
    <w:rsid w:val="4F805291"/>
    <w:rsid w:val="50483E84"/>
    <w:rsid w:val="54DE26FB"/>
    <w:rsid w:val="5695689F"/>
    <w:rsid w:val="5710571F"/>
    <w:rsid w:val="58382B00"/>
    <w:rsid w:val="58E3685F"/>
    <w:rsid w:val="5B231B4B"/>
    <w:rsid w:val="5CC6142A"/>
    <w:rsid w:val="5DC479E9"/>
    <w:rsid w:val="5E240558"/>
    <w:rsid w:val="5E621C53"/>
    <w:rsid w:val="5EC05629"/>
    <w:rsid w:val="60201FCF"/>
    <w:rsid w:val="60D84BF3"/>
    <w:rsid w:val="62CB0766"/>
    <w:rsid w:val="669F0E96"/>
    <w:rsid w:val="69256FAD"/>
    <w:rsid w:val="6AF31BD6"/>
    <w:rsid w:val="6BBF34F2"/>
    <w:rsid w:val="6E874863"/>
    <w:rsid w:val="6F1251D3"/>
    <w:rsid w:val="6F1F009C"/>
    <w:rsid w:val="6F3B7BCA"/>
    <w:rsid w:val="6F8E4CC6"/>
    <w:rsid w:val="73F8AEC2"/>
    <w:rsid w:val="742D3392"/>
    <w:rsid w:val="780E07A2"/>
    <w:rsid w:val="79554E68"/>
    <w:rsid w:val="7B4F7BF3"/>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4">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10">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5">
    <w:name w:val="Salutation"/>
    <w:basedOn w:val="1"/>
    <w:next w:val="1"/>
    <w:qFormat/>
    <w:uiPriority w:val="0"/>
  </w:style>
  <w:style w:type="paragraph" w:styleId="6">
    <w:name w:val="Body Text"/>
    <w:basedOn w:val="1"/>
    <w:next w:val="1"/>
    <w:qFormat/>
    <w:uiPriority w:val="0"/>
    <w:pPr>
      <w:spacing w:after="120" w:afterLines="0"/>
    </w:pPr>
  </w:style>
  <w:style w:type="paragraph" w:styleId="7">
    <w:name w:val="Plain Text"/>
    <w:basedOn w:val="1"/>
    <w:qFormat/>
    <w:uiPriority w:val="0"/>
    <w:pPr>
      <w:autoSpaceDE w:val="0"/>
      <w:autoSpaceDN w:val="0"/>
      <w:adjustRightInd w:val="0"/>
    </w:pPr>
    <w:rPr>
      <w:rFonts w:hAnsi="Courier New"/>
      <w:kern w:val="2"/>
      <w:sz w:val="21"/>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1">
    <w:name w:val="Strong"/>
    <w:basedOn w:val="10"/>
    <w:qFormat/>
    <w:uiPriority w:val="0"/>
    <w:rPr>
      <w:b/>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4">
    <w:name w:val="font21"/>
    <w:basedOn w:val="10"/>
    <w:qFormat/>
    <w:uiPriority w:val="0"/>
    <w:rPr>
      <w:rFonts w:hint="eastAsia" w:ascii="宋体" w:hAnsi="宋体" w:eastAsia="宋体" w:cs="宋体"/>
      <w:color w:val="000000"/>
      <w:sz w:val="72"/>
      <w:szCs w:val="72"/>
      <w:u w:val="none"/>
    </w:rPr>
  </w:style>
  <w:style w:type="character" w:customStyle="1" w:styleId="15">
    <w:name w:val="font31"/>
    <w:basedOn w:val="10"/>
    <w:qFormat/>
    <w:uiPriority w:val="0"/>
    <w:rPr>
      <w:rFonts w:hint="eastAsia" w:ascii="宋体" w:hAnsi="宋体" w:eastAsia="宋体" w:cs="宋体"/>
      <w:color w:val="FF0000"/>
      <w:sz w:val="24"/>
      <w:szCs w:val="24"/>
      <w:u w:val="none"/>
    </w:rPr>
  </w:style>
  <w:style w:type="character" w:customStyle="1" w:styleId="16">
    <w:name w:val="font01"/>
    <w:basedOn w:val="10"/>
    <w:qFormat/>
    <w:uiPriority w:val="0"/>
    <w:rPr>
      <w:rFonts w:hint="eastAsia" w:ascii="宋体" w:hAnsi="宋体" w:eastAsia="宋体" w:cs="宋体"/>
      <w:color w:val="FF0000"/>
      <w:sz w:val="24"/>
      <w:szCs w:val="24"/>
      <w:u w:val="none"/>
    </w:rPr>
  </w:style>
  <w:style w:type="character" w:customStyle="1" w:styleId="17">
    <w:name w:val="15"/>
    <w:basedOn w:val="10"/>
    <w:qFormat/>
    <w:uiPriority w:val="0"/>
    <w:rPr>
      <w:rFonts w:hint="default" w:ascii="Times New Roman" w:hAnsi="Times New Roman" w:cs="Times New Roman"/>
      <w:b/>
    </w:rPr>
  </w:style>
  <w:style w:type="character" w:customStyle="1" w:styleId="18">
    <w:name w:val="10"/>
    <w:basedOn w:val="10"/>
    <w:qFormat/>
    <w:uiPriority w:val="0"/>
    <w:rPr>
      <w:rFonts w:hint="default" w:ascii="Times New Roman" w:hAnsi="Times New Roman" w:cs="Times New Roman"/>
    </w:rPr>
  </w:style>
  <w:style w:type="paragraph" w:customStyle="1" w:styleId="19">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1698</Words>
  <Characters>1765</Characters>
  <Lines>26</Lines>
  <Paragraphs>7</Paragraphs>
  <TotalTime>7</TotalTime>
  <ScaleCrop>false</ScaleCrop>
  <LinksUpToDate>false</LinksUpToDate>
  <CharactersWithSpaces>1812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2026-10-19T03:46:05Z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