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bookmarkStart w:id="9" w:name="_GoBack"/>
      <w:bookmarkEnd w:id="9"/>
      <w:bookmarkStart w:id="0" w:name="_Toc517447492"/>
      <w:bookmarkStart w:id="1" w:name="_Toc77400782"/>
      <w:bookmarkStart w:id="2" w:name="_Toc183682368"/>
      <w:bookmarkStart w:id="3" w:name="_Toc183582231"/>
      <w:bookmarkStart w:id="4" w:name="_Toc89075878"/>
      <w:bookmarkStart w:id="5" w:name="_Toc217446056"/>
      <w:r>
        <w:rPr>
          <w:rFonts w:hint="eastAsia" w:ascii="仿宋" w:hAnsi="仿宋" w:eastAsia="仿宋" w:cs="仿宋"/>
          <w:sz w:val="36"/>
          <w:szCs w:val="36"/>
        </w:rPr>
        <w:t xml:space="preserve">  </w:t>
      </w:r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采购项目需求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outlineLvl w:val="0"/>
        <w:rPr>
          <w:rFonts w:hint="default" w:ascii="仿宋" w:hAnsi="仿宋" w:eastAsia="仿宋" w:cs="仿宋"/>
          <w:sz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采购清单</w:t>
      </w:r>
    </w:p>
    <w:tbl>
      <w:tblPr>
        <w:tblStyle w:val="18"/>
        <w:tblW w:w="7861" w:type="dxa"/>
        <w:tblInd w:w="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数量及单位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云胶片系统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云服务器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网络服务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2条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技术（服务）要求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74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（一）云胶片系统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1.系统设计采用B/S架构，可进行PC端、手机端、PAD端的页面浏览调阅。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2.遵从HL7医疗服务信息网络通讯协议。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3.支持多种病例信息采集方式，如中间表、WEB服务、集成平台等。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4.支持多种类型影像诊断信息的采集，如文本类诊断信息、图文类诊断信息等。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5.支持在线，近线，离线存储等分层存储形式，支持PB级海量影像存储，支持标准Dicom影像信息和非标准Dicom影像信息的采集和存储。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6.支持与医院现有PACS系统对接。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7.遵从DICOM 3.0医学影像数据标准。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8.要求所显示的医疗影像在符合DICOM标准的专业级显示器上，可以达到医用诊断级显示质量。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9.影像传输支持Dicom 、JPEG无损/有损压缩和断点续传技术，满足低带宽下传输可靠性和及时性。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10.支持能够在较低的带宽和手机流量消耗不高的情况下，实现对影像和报告的快速调阅。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11.支持所有界面的显示响应速度小于五秒，每百幅影像小于20秒，影像浏览不得有停顿、延时、中断等现象。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12.支持在4M有效带宽下，用户调阅显示单张常规CT影像的等待时间小于2秒；调阅显示单张常规DR影像的等待时间小于3秒。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13.在单服务器节点配置下，能够支持不少于100名用户并发访问二维影像浏览。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14.能够通过服务器动态扩容和负载均衡，增加并发用户数支持，最大支持不少于1000名用户并发访问。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15.提供必要的安全、日志和监控服务，提高整个系统的可靠性。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16.能够实时查看到所有服务的运行状态、异常情况、硬件服务器情况、数据库性能等内容。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17.支持当出现运行异常并且达到设计的严重级别时，能够自动发出报警信息。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18.系统必须是全面支持中文，且界面流程必须有相应的中文提示。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19.影像浏览端支持免安装、无痕浏览。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20.影像浏览端支持跨平台，能够在当前主流操作系统运行，采用纯网页方式，包括Windows、iOS、Android等。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21.患者个人信息、用户登录信息、以及患者病例等关键信息在互联网传输，需要支持SSL/TLS加密，确保数据安全。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22.用户注册管理：通过姓名和手机号进行注册；未注册用户，接收到短信平台发送的短信后按导航完成注册。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23.用户登录管理：已注册用户，输入注册账号和密码登录系统；未注册用户，接收到短信平台发送的短信后通过短信提示密码完成登录。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24.支持患者查看个人病例数据，包括：查看自己的检查影像和报告；对检查影像进行常规影像处理操作。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25.支持查看分享给个人的病例数据，包括：查看其它人已经分享的检查影像和报告；对检查影像进行常规影像处理操作，如调整窗宽窗位，放大缩小等。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26.支持按照检查时间、设备类型进行筛选，也可以按患者姓名、患者编号和病历号搜索。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27.支持流量保护功能，用户可自行选择开启或关闭该功能。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（提供功能截图）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28.支持影像及时传递，无需预加载影像，打开阅片器即可进行影像调阅。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（提供功能截图）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29.支持显示设备类型、帧图像个数。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30.提供图像常用快捷操作工具。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31.能够显示或隐藏图像相关信息。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32.支持平移、缩放、翻页、放大镜。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33.支持调整窗宽窗位和预定义窗宽窗位。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34.支持多种布局，包括1X1，1X2，1X3，2X2，2X3，2X4，3X3，2X1，3X1。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35.支持各种测量工具，包括长度测量，角度测量，心胸比测量，交叉线测量，圆形/椭圆形ROI测量。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（提供功能截图）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36.在多窗口布局中只针对指定的图像进行调整，而窗口中其它帧图像不同步此操作。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37.支持显示标注；显示参考线（仅适合MR、CT类型图像）；显示图像信息；显示患者信息；显示DICOM信息；显示图像对应的体位信息。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38.支持对比浏览：打开多个图像窗口，对图像进行操作，被对比的所有2D图像窗口同步此操作。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39.支持动态回放：按照设置的播放速度动态播放帧图像。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40.支持图像窗口重置：当帧图像被平移或缩放后，快速恢复到标准样式。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41.支持对图像序列窗口进行反色/旋转/翻转操作。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42.支持临床常用的三维重建和可视化，包括MPR、VR显示。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default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43.三维后处理支持进行心包提取，去骨，移除扫描床，圆形椭圆ROI等功能。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（提供功能截图）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44.内置多种三维渲染预定义方案，包括但不限于：通用；骨骼；透明骨骼；主动脉；心脏；齿科；颈椎动脉；软组织；肺部；金属植入物等。满足适应不同器官渲染和疾病诊断需求。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（提供功能截图）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45.支持选择影像传输格式为Dicom或JPEG2000，支持自动选择；支持设置不同的影像类型选择不同的传输格式。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（提供功能截图）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46.支持通过短信分享，打开检查数据的链接地址，输入授权信息查看。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47.支持通过邮件分享，打开检查数据的链接地址，输入授权信息查看。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48.支持通过微信二维码分享，直接扫码查看检查数据。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49.患者进行分享时，可以指定分享的有效期限，以及获得分享授权的人能否进一步将影像分享给他人。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2" w:firstLineChars="200"/>
        <w:textAlignment w:val="auto"/>
        <w:outlineLvl w:val="1"/>
        <w:rPr>
          <w:rFonts w:hint="default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云服务器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highlight w:val="none"/>
        </w:rPr>
        <w:t>CPU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≥4</w:t>
      </w:r>
      <w:r>
        <w:rPr>
          <w:rFonts w:hint="eastAsia" w:ascii="仿宋" w:hAnsi="仿宋" w:eastAsia="仿宋" w:cs="仿宋"/>
          <w:sz w:val="24"/>
          <w:highlight w:val="none"/>
        </w:rPr>
        <w:t>核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；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2.内存≥16G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；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3.硬盘≥1152G；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2" w:firstLineChars="200"/>
        <w:textAlignment w:val="auto"/>
        <w:outlineLvl w:val="1"/>
        <w:rPr>
          <w:rFonts w:hint="default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网络服务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1.云专线≥10M，互联网带宽≥10M；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2" w:firstLineChars="200"/>
        <w:textAlignment w:val="auto"/>
        <w:outlineLvl w:val="1"/>
        <w:rPr>
          <w:rFonts w:hint="default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其他服务要求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1、云胶片系统部署完成后，成交投标人对采购人相关科室人员进行培训服务。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lang w:val="en-US" w:eastAsia="zh-CN"/>
        </w:rPr>
        <w:t>保密要求：投标人对项目信息严格保密，本项目服务过程中所涉及所有信息资料(包括：采购人提供或投标人自行收集的)未经采购人书面允许成交投标人严禁向任何第三方泄露信息资料，如有违反，采购人有权向投标人追究其法律责任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3、服务期限内，若系统出现故障，成交投标人在2小时内响应并提供售后技术支持服务。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2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、商务要求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、履约验收：本项目采购人将</w:t>
      </w:r>
      <w:r>
        <w:rPr>
          <w:rFonts w:hint="eastAsia" w:ascii="仿宋" w:hAnsi="仿宋" w:eastAsia="仿宋" w:cs="仿宋"/>
          <w:sz w:val="24"/>
          <w:lang w:val="en-US" w:eastAsia="zh-CN"/>
        </w:rPr>
        <w:t>根据招标文件要求，参照</w:t>
      </w:r>
      <w:r>
        <w:rPr>
          <w:rFonts w:hint="eastAsia" w:ascii="仿宋" w:hAnsi="仿宋" w:eastAsia="仿宋" w:cs="仿宋"/>
          <w:sz w:val="24"/>
        </w:rPr>
        <w:t>《财政部关于进一步加强政府采购需求和履约验收管理的指导意见》（财库〔2016〕205号）、《政府采购需求管理办法》财库〔2021〕22号以及国家相关规定进行验收。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</w:rPr>
        <w:t>验收不合格时，采购人和</w:t>
      </w:r>
      <w:r>
        <w:rPr>
          <w:rFonts w:hint="eastAsia" w:ascii="仿宋" w:hAnsi="仿宋" w:eastAsia="仿宋" w:cs="仿宋"/>
          <w:bCs/>
          <w:sz w:val="24"/>
          <w:lang w:eastAsia="zh-CN"/>
        </w:rPr>
        <w:t>成交投标人</w:t>
      </w:r>
      <w:r>
        <w:rPr>
          <w:rFonts w:hint="eastAsia" w:ascii="仿宋" w:hAnsi="仿宋" w:eastAsia="仿宋" w:cs="仿宋"/>
          <w:bCs/>
          <w:sz w:val="24"/>
        </w:rPr>
        <w:t>应协商一致，成交</w:t>
      </w:r>
      <w:r>
        <w:rPr>
          <w:rFonts w:hint="eastAsia" w:ascii="仿宋" w:hAnsi="仿宋" w:eastAsia="仿宋" w:cs="仿宋"/>
          <w:bCs/>
          <w:sz w:val="24"/>
          <w:lang w:eastAsia="zh-CN"/>
        </w:rPr>
        <w:t>投标人</w:t>
      </w:r>
      <w:r>
        <w:rPr>
          <w:rFonts w:hint="eastAsia" w:ascii="仿宋" w:hAnsi="仿宋" w:eastAsia="仿宋" w:cs="仿宋"/>
          <w:bCs/>
          <w:sz w:val="24"/>
        </w:rPr>
        <w:t>应根据相关验收证明材料及时补足或更换，费用由成交</w:t>
      </w:r>
      <w:r>
        <w:rPr>
          <w:rFonts w:hint="eastAsia" w:ascii="仿宋" w:hAnsi="仿宋" w:eastAsia="仿宋" w:cs="仿宋"/>
          <w:bCs/>
          <w:sz w:val="24"/>
          <w:lang w:eastAsia="zh-CN"/>
        </w:rPr>
        <w:t>投标人</w:t>
      </w:r>
      <w:r>
        <w:rPr>
          <w:rFonts w:hint="eastAsia" w:ascii="仿宋" w:hAnsi="仿宋" w:eastAsia="仿宋" w:cs="仿宋"/>
          <w:bCs/>
          <w:sz w:val="24"/>
        </w:rPr>
        <w:t>自行承担。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sz w:val="24"/>
          <w:lang w:bidi="ar"/>
        </w:rPr>
        <w:t>、付款方式和条件：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 w:bidi="ar"/>
        </w:rPr>
        <w:t>按季度结算，根据实际服务数量据实结算，采购人在收到成交投标人等额有效的发票后15个工作日内向成交投标人一次性支付应付金额。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 w:bidi="ar"/>
        </w:rPr>
        <w:t>4、</w:t>
      </w:r>
      <w:r>
        <w:rPr>
          <w:rFonts w:hint="eastAsia" w:ascii="仿宋" w:hAnsi="仿宋" w:eastAsia="仿宋" w:cs="仿宋"/>
          <w:b/>
          <w:bCs/>
          <w:sz w:val="24"/>
          <w:szCs w:val="28"/>
          <w:highlight w:val="none"/>
          <w:lang w:eastAsia="zh-Hans"/>
        </w:rPr>
        <w:t>报价要求：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</w:rPr>
        <w:t>应根据本项目的实际情况与自身现实情况，并充分考虑不确定性因素可能导致的风险自行报价。该报价已经含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采购费、税费、制作费、劳务费、后勤保障费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资料费、人工费、交通费、保险、利润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其他有关各项的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</w:rPr>
        <w:t>为提供本项目服务及履行义务所需的全部费用。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除本项目若涉及的外部接口费或开发费，采购人不再向投标人支付其他任何费用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后期维护费不超过合同金额的5%。涉及接口费甲乙双方均摊。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五、其他要求</w:t>
      </w:r>
    </w:p>
    <w:bookmarkEnd w:id="1"/>
    <w:bookmarkEnd w:id="2"/>
    <w:bookmarkEnd w:id="3"/>
    <w:bookmarkEnd w:id="4"/>
    <w:bookmarkEnd w:id="5"/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bookmarkStart w:id="6" w:name="_Toc217446057"/>
      <w:bookmarkStart w:id="7" w:name="_Toc183582232"/>
      <w:bookmarkStart w:id="8" w:name="_Toc183682369"/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1、投标人针对本项目制定的项目实施方案方案包含：①项目实施计划，②人员配置及岗位职责，③项目进度管理方案，④系统安装部署方案，⑤培训方案。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（需提供具体实施方案，方案包含以上内容）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2、投标人提供的平台：①具有“数字影像云胶片系统”功能并提供软件著作权证书，②具有“医疗影像云平台”功能并提供软件著作权证书。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（提供以上有效证书复印件）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3、企业类似业绩：至少提供 1 个 2022 年 01 月 01 日至投标截止时间已完成（以合同签订时间为准）的云影像服务相关业绩。</w:t>
      </w:r>
      <w:bookmarkEnd w:id="6"/>
      <w:bookmarkEnd w:id="7"/>
      <w:bookmarkEnd w:id="8"/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（提供合同复印件）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2FA6"/>
    <w:multiLevelType w:val="singleLevel"/>
    <w:tmpl w:val="30942FA6"/>
    <w:lvl w:ilvl="0" w:tentative="0">
      <w:start w:val="1"/>
      <w:numFmt w:val="decimal"/>
      <w:pStyle w:val="22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F4C23"/>
    <w:rsid w:val="005D0C62"/>
    <w:rsid w:val="0518140A"/>
    <w:rsid w:val="059C7A38"/>
    <w:rsid w:val="07301C8D"/>
    <w:rsid w:val="08253634"/>
    <w:rsid w:val="0A8302B7"/>
    <w:rsid w:val="0CE715F4"/>
    <w:rsid w:val="0DB877CC"/>
    <w:rsid w:val="0DE623D0"/>
    <w:rsid w:val="0F4052B3"/>
    <w:rsid w:val="118F43BC"/>
    <w:rsid w:val="164C46A8"/>
    <w:rsid w:val="1A8F514B"/>
    <w:rsid w:val="1ABF6233"/>
    <w:rsid w:val="1EE725A7"/>
    <w:rsid w:val="210E3EF0"/>
    <w:rsid w:val="2B962BEF"/>
    <w:rsid w:val="2BFA3C3C"/>
    <w:rsid w:val="2C2702FD"/>
    <w:rsid w:val="2C9139C3"/>
    <w:rsid w:val="34703B59"/>
    <w:rsid w:val="3F124588"/>
    <w:rsid w:val="41BC688D"/>
    <w:rsid w:val="44CF4C23"/>
    <w:rsid w:val="4A253BB6"/>
    <w:rsid w:val="4B3B68BB"/>
    <w:rsid w:val="55C7245F"/>
    <w:rsid w:val="57526967"/>
    <w:rsid w:val="57D27624"/>
    <w:rsid w:val="59B81902"/>
    <w:rsid w:val="5F19574C"/>
    <w:rsid w:val="5FC34169"/>
    <w:rsid w:val="617970A2"/>
    <w:rsid w:val="633E483E"/>
    <w:rsid w:val="63D2462F"/>
    <w:rsid w:val="658406DD"/>
    <w:rsid w:val="697C39EB"/>
    <w:rsid w:val="6A3548E5"/>
    <w:rsid w:val="6BDF206B"/>
    <w:rsid w:val="6C652E5C"/>
    <w:rsid w:val="73B052B7"/>
    <w:rsid w:val="75750A98"/>
    <w:rsid w:val="7BF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Body Text First Indent 2"/>
    <w:basedOn w:val="9"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10">
    <w:name w:val="Plain Text"/>
    <w:basedOn w:val="1"/>
    <w:next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960" w:lineRule="auto"/>
      <w:jc w:val="left"/>
    </w:pPr>
    <w:rPr>
      <w:rFonts w:ascii="Calibri" w:hAnsi="Calibri"/>
      <w:kern w:val="0"/>
      <w:sz w:val="24"/>
      <w:szCs w:val="22"/>
    </w:rPr>
  </w:style>
  <w:style w:type="character" w:styleId="16">
    <w:name w:val="Hyperlink"/>
    <w:basedOn w:val="15"/>
    <w:qFormat/>
    <w:uiPriority w:val="99"/>
    <w:rPr>
      <w:color w:val="0000FF"/>
      <w:u w:val="single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标题 5（有编号）（绿盟科技）"/>
    <w:basedOn w:val="20"/>
    <w:next w:val="2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20">
    <w:name w:val="正文1"/>
    <w:next w:val="2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1">
    <w:name w:val="正文文本1"/>
    <w:basedOn w:val="22"/>
    <w:next w:val="20"/>
    <w:qFormat/>
    <w:uiPriority w:val="0"/>
    <w:pPr>
      <w:spacing w:beforeLines="0" w:afterLines="50"/>
    </w:pPr>
  </w:style>
  <w:style w:type="paragraph" w:customStyle="1" w:styleId="22">
    <w:name w:val="表格内1"/>
    <w:next w:val="21"/>
    <w:qFormat/>
    <w:uiPriority w:val="0"/>
    <w:pPr>
      <w:widowControl w:val="0"/>
      <w:numPr>
        <w:ilvl w:val="0"/>
        <w:numId w:val="2"/>
      </w:numPr>
      <w:jc w:val="both"/>
    </w:pPr>
    <w:rPr>
      <w:rFonts w:ascii="Calibri" w:hAnsi="Calibri" w:eastAsia="宋体" w:cs="黑体"/>
      <w:b/>
      <w:kern w:val="2"/>
      <w:sz w:val="21"/>
      <w:szCs w:val="22"/>
      <w:lang w:val="en-US" w:eastAsia="zh-CN" w:bidi="ar-SA"/>
    </w:rPr>
  </w:style>
  <w:style w:type="paragraph" w:customStyle="1" w:styleId="2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4">
    <w:name w:val="_Style 14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25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7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8">
    <w:name w:val="03、“注：”正文(加粗，首行缩进2字符)"/>
    <w:basedOn w:val="29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29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3003</Words>
  <Characters>3242</Characters>
  <Lines>0</Lines>
  <Paragraphs>0</Paragraphs>
  <TotalTime>96</TotalTime>
  <ScaleCrop>false</ScaleCrop>
  <LinksUpToDate>false</LinksUpToDate>
  <CharactersWithSpaces>3262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2025-12-02T03:24:00Z</dcterms:created>
  <dc:creator>JaneEyre1425699423</dc:creator>
  <cp:lastModifiedBy>Administrator</cp:lastModifiedBy>
  <dcterms:modified xsi:type="dcterms:W3CDTF">2026-01-27T03:05:13Z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CF1391A3AB8A4B21923FEC30217F3D04_11</vt:lpwstr>
  </property>
  <property fmtid="{D5CDD505-2E9C-101B-9397-08002B2CF9AE}" pid="4" name="KSOTemplateDocerSaveRecord">
    <vt:lpwstr>eyJoZGlkIjoiY2IxYjdmZDkxYWEyOGIxM2Q3MTY4MTBhNGZkYzYyNDUiLCJ1c2VySWQiOiI1MTA2NTczNTUifQ==</vt:lpwstr>
  </property>
</Properties>
</file>