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theme="minorEastAsia"/>
          <w:sz w:val="32"/>
          <w:szCs w:val="32"/>
        </w:rPr>
      </w:pPr>
      <w:r>
        <w:rPr>
          <w:rFonts w:hint="eastAsia" w:ascii="仿宋" w:hAnsi="仿宋" w:eastAsia="仿宋" w:cstheme="minorEastAsia"/>
          <w:sz w:val="32"/>
          <w:szCs w:val="32"/>
        </w:rPr>
        <w:t>附件2：</w:t>
      </w:r>
    </w:p>
    <w:tbl>
      <w:tblPr>
        <w:tblStyle w:val="3"/>
        <w:tblW w:w="9493"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68"/>
        <w:gridCol w:w="976"/>
        <w:gridCol w:w="714"/>
        <w:gridCol w:w="6095"/>
        <w:gridCol w:w="134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jc w:val="center"/>
        </w:trPr>
        <w:tc>
          <w:tcPr>
            <w:tcW w:w="368" w:type="dxa"/>
            <w:vAlign w:val="center"/>
          </w:tcPr>
          <w:p>
            <w:pPr>
              <w:autoSpaceDE w:val="0"/>
              <w:autoSpaceDN w:val="0"/>
              <w:adjustRightInd w:val="0"/>
              <w:snapToGrid w:val="0"/>
              <w:spacing w:line="560" w:lineRule="exact"/>
              <w:jc w:val="center"/>
              <w:rPr>
                <w:rFonts w:ascii="仿宋" w:hAnsi="仿宋" w:eastAsia="仿宋" w:cstheme="minorEastAsia"/>
                <w:b/>
                <w:bCs/>
                <w:sz w:val="32"/>
                <w:szCs w:val="32"/>
              </w:rPr>
            </w:pPr>
            <w:r>
              <w:rPr>
                <w:rFonts w:hint="eastAsia" w:ascii="仿宋" w:hAnsi="仿宋" w:eastAsia="仿宋" w:cstheme="minorEastAsia"/>
                <w:b/>
                <w:bCs/>
                <w:sz w:val="32"/>
                <w:szCs w:val="32"/>
              </w:rPr>
              <w:t>序号</w:t>
            </w:r>
          </w:p>
        </w:tc>
        <w:tc>
          <w:tcPr>
            <w:tcW w:w="976" w:type="dxa"/>
            <w:vAlign w:val="center"/>
          </w:tcPr>
          <w:p>
            <w:pPr>
              <w:autoSpaceDE w:val="0"/>
              <w:autoSpaceDN w:val="0"/>
              <w:adjustRightInd w:val="0"/>
              <w:snapToGrid w:val="0"/>
              <w:spacing w:line="560" w:lineRule="exact"/>
              <w:jc w:val="center"/>
              <w:rPr>
                <w:rFonts w:ascii="仿宋" w:hAnsi="仿宋" w:eastAsia="仿宋" w:cstheme="minorEastAsia"/>
                <w:b/>
                <w:bCs/>
                <w:sz w:val="32"/>
                <w:szCs w:val="32"/>
              </w:rPr>
            </w:pPr>
            <w:r>
              <w:rPr>
                <w:rFonts w:hint="eastAsia" w:ascii="仿宋" w:hAnsi="仿宋" w:eastAsia="仿宋" w:cstheme="minorEastAsia"/>
                <w:b/>
                <w:bCs/>
                <w:sz w:val="32"/>
                <w:szCs w:val="32"/>
              </w:rPr>
              <w:t>评分因素及权重</w:t>
            </w:r>
          </w:p>
        </w:tc>
        <w:tc>
          <w:tcPr>
            <w:tcW w:w="714" w:type="dxa"/>
            <w:vAlign w:val="center"/>
          </w:tcPr>
          <w:p>
            <w:pPr>
              <w:autoSpaceDE w:val="0"/>
              <w:autoSpaceDN w:val="0"/>
              <w:adjustRightInd w:val="0"/>
              <w:snapToGrid w:val="0"/>
              <w:spacing w:line="560" w:lineRule="exact"/>
              <w:jc w:val="center"/>
              <w:rPr>
                <w:rFonts w:ascii="仿宋" w:hAnsi="仿宋" w:eastAsia="仿宋" w:cstheme="minorEastAsia"/>
                <w:b/>
                <w:bCs/>
                <w:sz w:val="32"/>
                <w:szCs w:val="32"/>
              </w:rPr>
            </w:pPr>
            <w:r>
              <w:rPr>
                <w:rFonts w:hint="eastAsia" w:ascii="仿宋" w:hAnsi="仿宋" w:eastAsia="仿宋" w:cstheme="minorEastAsia"/>
                <w:b/>
                <w:bCs/>
                <w:sz w:val="32"/>
                <w:szCs w:val="32"/>
              </w:rPr>
              <w:t>分值</w:t>
            </w:r>
          </w:p>
        </w:tc>
        <w:tc>
          <w:tcPr>
            <w:tcW w:w="6095" w:type="dxa"/>
            <w:vAlign w:val="center"/>
          </w:tcPr>
          <w:p>
            <w:pPr>
              <w:autoSpaceDE w:val="0"/>
              <w:autoSpaceDN w:val="0"/>
              <w:adjustRightInd w:val="0"/>
              <w:snapToGrid w:val="0"/>
              <w:spacing w:line="560" w:lineRule="exact"/>
              <w:jc w:val="center"/>
              <w:rPr>
                <w:rFonts w:ascii="仿宋" w:hAnsi="仿宋" w:eastAsia="仿宋" w:cstheme="minorEastAsia"/>
                <w:b/>
                <w:bCs/>
                <w:sz w:val="32"/>
                <w:szCs w:val="32"/>
              </w:rPr>
            </w:pPr>
            <w:r>
              <w:rPr>
                <w:rFonts w:hint="eastAsia" w:ascii="仿宋" w:hAnsi="仿宋" w:eastAsia="仿宋" w:cstheme="minorEastAsia"/>
                <w:b/>
                <w:bCs/>
                <w:sz w:val="32"/>
                <w:szCs w:val="32"/>
              </w:rPr>
              <w:t>评分（判）标准</w:t>
            </w:r>
          </w:p>
        </w:tc>
        <w:tc>
          <w:tcPr>
            <w:tcW w:w="1340" w:type="dxa"/>
            <w:vAlign w:val="center"/>
          </w:tcPr>
          <w:p>
            <w:pPr>
              <w:autoSpaceDE w:val="0"/>
              <w:autoSpaceDN w:val="0"/>
              <w:adjustRightInd w:val="0"/>
              <w:snapToGrid w:val="0"/>
              <w:spacing w:line="560" w:lineRule="exact"/>
              <w:rPr>
                <w:rFonts w:ascii="仿宋" w:hAnsi="仿宋" w:eastAsia="仿宋" w:cstheme="minorEastAsia"/>
                <w:b/>
                <w:bCs/>
                <w:sz w:val="32"/>
                <w:szCs w:val="32"/>
              </w:rPr>
            </w:pPr>
            <w:r>
              <w:rPr>
                <w:rFonts w:hint="eastAsia" w:ascii="仿宋" w:hAnsi="仿宋" w:eastAsia="仿宋" w:cstheme="minorEastAsia"/>
                <w:b/>
                <w:bCs/>
                <w:sz w:val="32"/>
                <w:szCs w:val="32"/>
              </w:rPr>
              <w:t>考核方式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368" w:type="dxa"/>
            <w:vAlign w:val="center"/>
          </w:tcPr>
          <w:p>
            <w:pPr>
              <w:adjustRightInd w:val="0"/>
              <w:snapToGrid w:val="0"/>
              <w:spacing w:line="560" w:lineRule="exact"/>
              <w:jc w:val="center"/>
              <w:rPr>
                <w:rFonts w:ascii="仿宋" w:hAnsi="仿宋" w:eastAsia="仿宋" w:cstheme="minorEastAsia"/>
                <w:sz w:val="32"/>
                <w:szCs w:val="32"/>
              </w:rPr>
            </w:pPr>
            <w:r>
              <w:rPr>
                <w:rFonts w:hint="eastAsia" w:ascii="仿宋" w:hAnsi="仿宋" w:eastAsia="仿宋" w:cstheme="minorEastAsia"/>
                <w:sz w:val="32"/>
                <w:szCs w:val="32"/>
              </w:rPr>
              <w:t>1</w:t>
            </w:r>
          </w:p>
        </w:tc>
        <w:tc>
          <w:tcPr>
            <w:tcW w:w="976" w:type="dxa"/>
            <w:vAlign w:val="center"/>
          </w:tcPr>
          <w:p>
            <w:pPr>
              <w:adjustRightInd w:val="0"/>
              <w:snapToGrid w:val="0"/>
              <w:spacing w:line="560" w:lineRule="exact"/>
              <w:ind w:left="32" w:hanging="32" w:hangingChars="10"/>
              <w:jc w:val="center"/>
              <w:rPr>
                <w:rFonts w:ascii="仿宋" w:hAnsi="仿宋" w:eastAsia="仿宋" w:cstheme="minorEastAsia"/>
                <w:sz w:val="32"/>
                <w:szCs w:val="32"/>
              </w:rPr>
            </w:pPr>
            <w:r>
              <w:rPr>
                <w:rFonts w:hint="eastAsia" w:ascii="仿宋" w:hAnsi="仿宋" w:eastAsia="仿宋" w:cstheme="minorEastAsia"/>
                <w:sz w:val="32"/>
                <w:szCs w:val="32"/>
              </w:rPr>
              <w:t>投标报价（30%）</w:t>
            </w:r>
          </w:p>
        </w:tc>
        <w:tc>
          <w:tcPr>
            <w:tcW w:w="714" w:type="dxa"/>
            <w:vAlign w:val="center"/>
          </w:tcPr>
          <w:p>
            <w:pPr>
              <w:adjustRightInd w:val="0"/>
              <w:snapToGrid w:val="0"/>
              <w:spacing w:line="560" w:lineRule="exact"/>
              <w:jc w:val="center"/>
              <w:rPr>
                <w:rFonts w:ascii="仿宋" w:hAnsi="仿宋" w:eastAsia="仿宋" w:cstheme="minorEastAsia"/>
                <w:sz w:val="32"/>
                <w:szCs w:val="32"/>
              </w:rPr>
            </w:pPr>
            <w:r>
              <w:rPr>
                <w:rFonts w:hint="eastAsia" w:ascii="仿宋" w:hAnsi="仿宋" w:eastAsia="仿宋" w:cstheme="minorEastAsia"/>
                <w:sz w:val="32"/>
                <w:szCs w:val="32"/>
              </w:rPr>
              <w:t>30</w:t>
            </w:r>
          </w:p>
        </w:tc>
        <w:tc>
          <w:tcPr>
            <w:tcW w:w="6095" w:type="dxa"/>
            <w:vAlign w:val="center"/>
          </w:tcPr>
          <w:p>
            <w:pPr>
              <w:adjustRightInd w:val="0"/>
              <w:snapToGrid w:val="0"/>
              <w:spacing w:line="560" w:lineRule="exact"/>
              <w:rPr>
                <w:rFonts w:ascii="仿宋" w:hAnsi="仿宋" w:eastAsia="仿宋" w:cstheme="minorEastAsia"/>
                <w:sz w:val="32"/>
                <w:szCs w:val="32"/>
              </w:rPr>
            </w:pPr>
            <w:r>
              <w:rPr>
                <w:rFonts w:hint="eastAsia" w:ascii="仿宋" w:hAnsi="仿宋" w:eastAsia="仿宋" w:cstheme="minorEastAsia"/>
                <w:sz w:val="32"/>
                <w:szCs w:val="32"/>
              </w:rPr>
              <w:t>1、满足招标文件要求且投标价格的平均投标报价为评标基准价，其价格分为满分。其他投标人的价格分统一按照下列公式计算：</w:t>
            </w:r>
          </w:p>
          <w:p>
            <w:pPr>
              <w:adjustRightInd w:val="0"/>
              <w:snapToGrid w:val="0"/>
              <w:spacing w:line="560" w:lineRule="exact"/>
              <w:rPr>
                <w:rFonts w:ascii="仿宋" w:hAnsi="仿宋" w:eastAsia="仿宋" w:cstheme="minorEastAsia"/>
                <w:sz w:val="32"/>
                <w:szCs w:val="32"/>
              </w:rPr>
            </w:pPr>
            <w:r>
              <w:rPr>
                <w:rFonts w:hint="eastAsia" w:ascii="仿宋" w:hAnsi="仿宋" w:eastAsia="仿宋" w:cstheme="minorEastAsia"/>
                <w:sz w:val="32"/>
                <w:szCs w:val="32"/>
              </w:rPr>
              <w:t>投标报价≥评标基准价：</w:t>
            </w:r>
          </w:p>
          <w:p>
            <w:pPr>
              <w:adjustRightInd w:val="0"/>
              <w:snapToGrid w:val="0"/>
              <w:spacing w:line="560" w:lineRule="exact"/>
              <w:rPr>
                <w:rFonts w:ascii="仿宋" w:hAnsi="仿宋" w:eastAsia="仿宋" w:cstheme="minorEastAsia"/>
                <w:sz w:val="32"/>
                <w:szCs w:val="32"/>
              </w:rPr>
            </w:pPr>
            <w:r>
              <w:rPr>
                <w:rFonts w:hint="eastAsia" w:ascii="仿宋" w:hAnsi="仿宋" w:eastAsia="仿宋" w:cstheme="minorEastAsia"/>
                <w:sz w:val="32"/>
                <w:szCs w:val="32"/>
              </w:rPr>
              <w:t>投标报价得分=(评标基准价÷投标报价)×30×100%</w:t>
            </w:r>
          </w:p>
          <w:p>
            <w:pPr>
              <w:adjustRightInd w:val="0"/>
              <w:snapToGrid w:val="0"/>
              <w:spacing w:line="560" w:lineRule="exact"/>
              <w:rPr>
                <w:rFonts w:ascii="仿宋" w:hAnsi="仿宋" w:eastAsia="仿宋" w:cstheme="minorEastAsia"/>
                <w:sz w:val="32"/>
                <w:szCs w:val="32"/>
              </w:rPr>
            </w:pPr>
            <w:r>
              <w:rPr>
                <w:rFonts w:hint="eastAsia" w:ascii="仿宋" w:hAnsi="仿宋" w:eastAsia="仿宋" w:cstheme="minorEastAsia"/>
                <w:sz w:val="32"/>
                <w:szCs w:val="32"/>
              </w:rPr>
              <w:t>投标报价＜评标基准价</w:t>
            </w:r>
          </w:p>
          <w:p>
            <w:pPr>
              <w:adjustRightInd w:val="0"/>
              <w:snapToGrid w:val="0"/>
              <w:spacing w:line="560" w:lineRule="exact"/>
              <w:rPr>
                <w:rFonts w:ascii="仿宋" w:hAnsi="仿宋" w:eastAsia="仿宋" w:cstheme="minorEastAsia"/>
                <w:sz w:val="32"/>
                <w:szCs w:val="32"/>
              </w:rPr>
            </w:pPr>
            <w:r>
              <w:rPr>
                <w:rFonts w:hint="eastAsia" w:ascii="仿宋" w:hAnsi="仿宋" w:eastAsia="仿宋" w:cstheme="minorEastAsia"/>
                <w:sz w:val="32"/>
                <w:szCs w:val="32"/>
              </w:rPr>
              <w:t>投标价格为满分。</w:t>
            </w:r>
          </w:p>
        </w:tc>
        <w:tc>
          <w:tcPr>
            <w:tcW w:w="1340" w:type="dxa"/>
            <w:vAlign w:val="center"/>
          </w:tcPr>
          <w:p>
            <w:pPr>
              <w:adjustRightInd w:val="0"/>
              <w:snapToGrid w:val="0"/>
              <w:spacing w:line="560" w:lineRule="exact"/>
              <w:rPr>
                <w:rFonts w:ascii="仿宋" w:hAnsi="仿宋" w:eastAsia="仿宋" w:cstheme="minorEastAsia"/>
                <w:sz w:val="32"/>
                <w:szCs w:val="32"/>
              </w:rPr>
            </w:pPr>
            <w:r>
              <w:rPr>
                <w:rFonts w:hint="eastAsia" w:ascii="仿宋" w:hAnsi="仿宋" w:eastAsia="仿宋" w:cstheme="minorEastAsia"/>
                <w:sz w:val="32"/>
                <w:szCs w:val="32"/>
              </w:rPr>
              <w:t>报价文件及现场计算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368" w:type="dxa"/>
            <w:vAlign w:val="center"/>
          </w:tcPr>
          <w:p>
            <w:pPr>
              <w:adjustRightInd w:val="0"/>
              <w:snapToGrid w:val="0"/>
              <w:spacing w:line="560" w:lineRule="exact"/>
              <w:jc w:val="center"/>
              <w:rPr>
                <w:rFonts w:ascii="仿宋" w:hAnsi="仿宋" w:eastAsia="仿宋" w:cstheme="minorEastAsia"/>
                <w:sz w:val="32"/>
                <w:szCs w:val="32"/>
              </w:rPr>
            </w:pPr>
            <w:r>
              <w:rPr>
                <w:rFonts w:hint="eastAsia" w:ascii="仿宋" w:hAnsi="仿宋" w:eastAsia="仿宋" w:cstheme="minorEastAsia"/>
                <w:sz w:val="32"/>
                <w:szCs w:val="32"/>
              </w:rPr>
              <w:t>2</w:t>
            </w:r>
          </w:p>
        </w:tc>
        <w:tc>
          <w:tcPr>
            <w:tcW w:w="976" w:type="dxa"/>
            <w:vAlign w:val="center"/>
          </w:tcPr>
          <w:p>
            <w:pPr>
              <w:adjustRightInd w:val="0"/>
              <w:snapToGrid w:val="0"/>
              <w:spacing w:line="560" w:lineRule="exact"/>
              <w:jc w:val="center"/>
              <w:rPr>
                <w:rFonts w:ascii="仿宋" w:hAnsi="仿宋" w:eastAsia="仿宋" w:cstheme="minorEastAsia"/>
                <w:sz w:val="32"/>
                <w:szCs w:val="32"/>
              </w:rPr>
            </w:pPr>
            <w:r>
              <w:rPr>
                <w:rFonts w:hint="eastAsia" w:ascii="仿宋" w:hAnsi="仿宋" w:eastAsia="仿宋" w:cstheme="minorEastAsia"/>
                <w:sz w:val="32"/>
                <w:szCs w:val="32"/>
              </w:rPr>
              <w:t>技术部分（57%）</w:t>
            </w:r>
          </w:p>
        </w:tc>
        <w:tc>
          <w:tcPr>
            <w:tcW w:w="714" w:type="dxa"/>
            <w:vAlign w:val="center"/>
          </w:tcPr>
          <w:p>
            <w:pPr>
              <w:adjustRightInd w:val="0"/>
              <w:snapToGrid w:val="0"/>
              <w:spacing w:line="560" w:lineRule="exact"/>
              <w:jc w:val="center"/>
              <w:rPr>
                <w:rFonts w:ascii="仿宋" w:hAnsi="仿宋" w:eastAsia="仿宋" w:cstheme="minorEastAsia"/>
                <w:sz w:val="32"/>
                <w:szCs w:val="32"/>
              </w:rPr>
            </w:pPr>
            <w:r>
              <w:rPr>
                <w:rFonts w:hint="eastAsia" w:ascii="仿宋" w:hAnsi="仿宋" w:eastAsia="仿宋" w:cstheme="minorEastAsia"/>
                <w:sz w:val="32"/>
                <w:szCs w:val="32"/>
              </w:rPr>
              <w:t>57</w:t>
            </w:r>
          </w:p>
        </w:tc>
        <w:tc>
          <w:tcPr>
            <w:tcW w:w="6095" w:type="dxa"/>
            <w:vAlign w:val="center"/>
          </w:tcPr>
          <w:p>
            <w:pPr>
              <w:adjustRightInd w:val="0"/>
              <w:snapToGrid w:val="0"/>
              <w:spacing w:line="560" w:lineRule="exact"/>
              <w:rPr>
                <w:rFonts w:ascii="仿宋" w:hAnsi="仿宋" w:eastAsia="仿宋" w:cstheme="minorEastAsia"/>
                <w:sz w:val="32"/>
                <w:szCs w:val="32"/>
              </w:rPr>
            </w:pPr>
            <w:r>
              <w:rPr>
                <w:rFonts w:hint="eastAsia" w:ascii="仿宋" w:hAnsi="仿宋" w:eastAsia="仿宋" w:cstheme="minorEastAsia"/>
                <w:sz w:val="32"/>
                <w:szCs w:val="32"/>
              </w:rPr>
              <w:t>完全符合招标文件要求没有负偏离得57分；有负偏离的,非“★”号项，一项扣3分，带“★”号项，一项扣6分，扣完为止。</w:t>
            </w:r>
          </w:p>
          <w:p>
            <w:pPr>
              <w:adjustRightInd w:val="0"/>
              <w:snapToGrid w:val="0"/>
              <w:spacing w:line="560" w:lineRule="exact"/>
              <w:rPr>
                <w:rFonts w:ascii="仿宋" w:hAnsi="仿宋" w:eastAsia="仿宋" w:cstheme="minorEastAsia"/>
                <w:sz w:val="32"/>
                <w:szCs w:val="32"/>
              </w:rPr>
            </w:pPr>
          </w:p>
        </w:tc>
        <w:tc>
          <w:tcPr>
            <w:tcW w:w="1340" w:type="dxa"/>
            <w:vAlign w:val="center"/>
          </w:tcPr>
          <w:p>
            <w:pPr>
              <w:adjustRightInd w:val="0"/>
              <w:snapToGrid w:val="0"/>
              <w:spacing w:line="560" w:lineRule="exact"/>
              <w:rPr>
                <w:rFonts w:ascii="仿宋" w:hAnsi="仿宋" w:eastAsia="仿宋" w:cstheme="minorEastAsia"/>
                <w:sz w:val="32"/>
                <w:szCs w:val="32"/>
              </w:rPr>
            </w:pPr>
            <w:r>
              <w:rPr>
                <w:rFonts w:hint="eastAsia" w:ascii="仿宋" w:hAnsi="仿宋" w:eastAsia="仿宋" w:cstheme="minorEastAsia"/>
                <w:sz w:val="32"/>
                <w:szCs w:val="32"/>
              </w:rPr>
              <w:t>提供相应的有效证明材料(说明书、检测报告等)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55" w:hRule="atLeast"/>
          <w:jc w:val="center"/>
        </w:trPr>
        <w:tc>
          <w:tcPr>
            <w:tcW w:w="368" w:type="dxa"/>
            <w:vAlign w:val="center"/>
          </w:tcPr>
          <w:p>
            <w:pPr>
              <w:adjustRightInd w:val="0"/>
              <w:snapToGrid w:val="0"/>
              <w:spacing w:before="240" w:line="560" w:lineRule="exact"/>
              <w:jc w:val="center"/>
              <w:rPr>
                <w:rFonts w:ascii="仿宋" w:hAnsi="仿宋" w:eastAsia="仿宋" w:cstheme="minorEastAsia"/>
                <w:sz w:val="32"/>
                <w:szCs w:val="32"/>
              </w:rPr>
            </w:pPr>
            <w:r>
              <w:rPr>
                <w:rFonts w:hint="eastAsia" w:ascii="仿宋" w:hAnsi="仿宋" w:eastAsia="仿宋" w:cstheme="minorEastAsia"/>
                <w:sz w:val="32"/>
                <w:szCs w:val="32"/>
              </w:rPr>
              <w:t>3</w:t>
            </w:r>
          </w:p>
        </w:tc>
        <w:tc>
          <w:tcPr>
            <w:tcW w:w="976" w:type="dxa"/>
            <w:vAlign w:val="center"/>
          </w:tcPr>
          <w:p>
            <w:pPr>
              <w:adjustRightInd w:val="0"/>
              <w:snapToGrid w:val="0"/>
              <w:spacing w:before="240" w:line="560" w:lineRule="exact"/>
              <w:jc w:val="center"/>
              <w:rPr>
                <w:rFonts w:ascii="仿宋" w:hAnsi="仿宋" w:eastAsia="仿宋" w:cstheme="minorEastAsia"/>
                <w:sz w:val="32"/>
                <w:szCs w:val="32"/>
              </w:rPr>
            </w:pPr>
            <w:r>
              <w:rPr>
                <w:rFonts w:hint="eastAsia" w:ascii="仿宋" w:hAnsi="仿宋" w:eastAsia="仿宋" w:cstheme="minorEastAsia"/>
                <w:sz w:val="32"/>
                <w:szCs w:val="32"/>
              </w:rPr>
              <w:t>售后服务（9%）</w:t>
            </w:r>
          </w:p>
        </w:tc>
        <w:tc>
          <w:tcPr>
            <w:tcW w:w="714" w:type="dxa"/>
            <w:vAlign w:val="center"/>
          </w:tcPr>
          <w:p>
            <w:pPr>
              <w:adjustRightInd w:val="0"/>
              <w:snapToGrid w:val="0"/>
              <w:spacing w:line="560" w:lineRule="exact"/>
              <w:jc w:val="center"/>
              <w:rPr>
                <w:rFonts w:ascii="仿宋" w:hAnsi="仿宋" w:eastAsia="仿宋" w:cstheme="minorEastAsia"/>
                <w:sz w:val="32"/>
                <w:szCs w:val="32"/>
                <w:highlight w:val="yellow"/>
              </w:rPr>
            </w:pPr>
            <w:r>
              <w:rPr>
                <w:rFonts w:hint="eastAsia" w:ascii="仿宋" w:hAnsi="仿宋" w:eastAsia="仿宋" w:cstheme="minorEastAsia"/>
                <w:sz w:val="32"/>
                <w:szCs w:val="32"/>
              </w:rPr>
              <w:t>9</w:t>
            </w:r>
          </w:p>
        </w:tc>
        <w:tc>
          <w:tcPr>
            <w:tcW w:w="6095" w:type="dxa"/>
            <w:vAlign w:val="center"/>
          </w:tcPr>
          <w:p>
            <w:pPr>
              <w:spacing w:line="560" w:lineRule="exact"/>
              <w:ind w:firstLine="28"/>
              <w:rPr>
                <w:rFonts w:ascii="仿宋" w:hAnsi="仿宋" w:eastAsia="仿宋" w:cstheme="minorEastAsia"/>
                <w:sz w:val="32"/>
                <w:szCs w:val="32"/>
              </w:rPr>
            </w:pPr>
            <w:r>
              <w:rPr>
                <w:rFonts w:hint="eastAsia" w:ascii="仿宋" w:hAnsi="仿宋" w:eastAsia="仿宋" w:cstheme="minorEastAsia"/>
                <w:sz w:val="32"/>
                <w:szCs w:val="32"/>
              </w:rPr>
              <w:t>1、生产厂家在省内须有售后服务点且有维修备件库，并提供有效的相关证明。提供了的得1分，否则不得分。</w:t>
            </w:r>
          </w:p>
          <w:p>
            <w:pPr>
              <w:spacing w:line="560" w:lineRule="exact"/>
              <w:ind w:firstLine="28"/>
              <w:rPr>
                <w:rFonts w:ascii="仿宋" w:hAnsi="仿宋" w:eastAsia="仿宋" w:cstheme="minorEastAsia"/>
                <w:sz w:val="32"/>
                <w:szCs w:val="32"/>
              </w:rPr>
            </w:pPr>
            <w:r>
              <w:rPr>
                <w:rFonts w:hint="eastAsia" w:ascii="仿宋" w:hAnsi="仿宋" w:eastAsia="仿宋" w:cstheme="minorEastAsia"/>
                <w:sz w:val="32"/>
                <w:szCs w:val="32"/>
              </w:rPr>
              <w:t>2、仪器厂家在四川境内有20名及以上经过厂家认证的工程师（提供证书和工程师个人社保缴纳证明）的，满足得2分，否则不得分。</w:t>
            </w:r>
          </w:p>
          <w:p>
            <w:pPr>
              <w:widowControl/>
              <w:spacing w:line="560" w:lineRule="exact"/>
              <w:rPr>
                <w:rFonts w:ascii="仿宋" w:hAnsi="仿宋" w:eastAsia="仿宋" w:cstheme="minorEastAsia"/>
                <w:sz w:val="32"/>
                <w:szCs w:val="32"/>
              </w:rPr>
            </w:pPr>
            <w:r>
              <w:rPr>
                <w:rFonts w:hint="eastAsia" w:ascii="仿宋" w:hAnsi="仿宋" w:eastAsia="仿宋" w:cstheme="minorEastAsia"/>
                <w:sz w:val="32"/>
                <w:szCs w:val="32"/>
              </w:rPr>
              <w:t>3、供应商所提供的免疫类产品通过欧盟、北美或者类似国际认可的得3分，否则不得分；</w:t>
            </w:r>
          </w:p>
          <w:p>
            <w:pPr>
              <w:spacing w:line="560" w:lineRule="exact"/>
              <w:ind w:firstLine="28"/>
              <w:rPr>
                <w:rFonts w:ascii="仿宋" w:hAnsi="仿宋" w:eastAsia="仿宋" w:cstheme="minorEastAsia"/>
                <w:sz w:val="32"/>
                <w:szCs w:val="32"/>
              </w:rPr>
            </w:pPr>
            <w:r>
              <w:rPr>
                <w:rFonts w:hint="eastAsia" w:ascii="仿宋" w:hAnsi="仿宋" w:eastAsia="仿宋" w:cstheme="minorEastAsia"/>
                <w:sz w:val="32"/>
                <w:szCs w:val="32"/>
              </w:rPr>
              <w:t>4、生产厂家具有医学参考实验室且获得中国合格评定国家认可委员会（CNAS），和 ISO17025、15195 的认可，并提供相关证书依据，予以佐证，得2分；</w:t>
            </w:r>
          </w:p>
          <w:p>
            <w:pPr>
              <w:spacing w:line="560" w:lineRule="exact"/>
              <w:ind w:firstLine="28"/>
              <w:rPr>
                <w:rFonts w:ascii="仿宋" w:hAnsi="仿宋" w:eastAsia="仿宋" w:cstheme="minorEastAsia"/>
                <w:sz w:val="32"/>
                <w:szCs w:val="32"/>
              </w:rPr>
            </w:pPr>
            <w:r>
              <w:rPr>
                <w:rFonts w:hint="eastAsia" w:ascii="仿宋" w:hAnsi="仿宋" w:eastAsia="仿宋" w:cstheme="minorEastAsia"/>
                <w:sz w:val="32"/>
                <w:szCs w:val="32"/>
              </w:rPr>
              <w:t>5、能定期免费（一年至少2次）对科室老师及临床老师进行专业知识培训，能定期（一年二次）邀请检验专家到医院举行学术讲座者得1分，否则不得分。（在投标文件中作出承诺）</w:t>
            </w:r>
          </w:p>
        </w:tc>
        <w:tc>
          <w:tcPr>
            <w:tcW w:w="1340" w:type="dxa"/>
            <w:vAlign w:val="center"/>
          </w:tcPr>
          <w:p>
            <w:pPr>
              <w:adjustRightInd w:val="0"/>
              <w:snapToGrid w:val="0"/>
              <w:spacing w:before="240" w:line="560" w:lineRule="exact"/>
              <w:rPr>
                <w:rFonts w:ascii="仿宋" w:hAnsi="仿宋" w:eastAsia="仿宋" w:cstheme="minorEastAsia"/>
                <w:sz w:val="32"/>
                <w:szCs w:val="32"/>
                <w:highlight w:val="yellow"/>
              </w:rPr>
            </w:pPr>
            <w:r>
              <w:rPr>
                <w:rFonts w:hint="eastAsia" w:ascii="仿宋" w:hAnsi="仿宋" w:eastAsia="仿宋" w:cstheme="minorEastAsia"/>
                <w:sz w:val="32"/>
                <w:szCs w:val="32"/>
              </w:rPr>
              <w:t>以投标文件及提供的资料为准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368" w:type="dxa"/>
            <w:vAlign w:val="center"/>
          </w:tcPr>
          <w:p>
            <w:pPr>
              <w:adjustRightInd w:val="0"/>
              <w:snapToGrid w:val="0"/>
              <w:spacing w:line="560" w:lineRule="exact"/>
              <w:jc w:val="center"/>
              <w:rPr>
                <w:rFonts w:ascii="仿宋" w:hAnsi="仿宋" w:eastAsia="仿宋" w:cstheme="minorEastAsia"/>
                <w:sz w:val="32"/>
                <w:szCs w:val="32"/>
              </w:rPr>
            </w:pPr>
            <w:r>
              <w:rPr>
                <w:rFonts w:hint="eastAsia" w:ascii="仿宋" w:hAnsi="仿宋" w:eastAsia="仿宋" w:cstheme="minorEastAsia"/>
                <w:sz w:val="32"/>
                <w:szCs w:val="32"/>
              </w:rPr>
              <w:t>4</w:t>
            </w:r>
          </w:p>
        </w:tc>
        <w:tc>
          <w:tcPr>
            <w:tcW w:w="976" w:type="dxa"/>
            <w:vAlign w:val="center"/>
          </w:tcPr>
          <w:p>
            <w:pPr>
              <w:adjustRightInd w:val="0"/>
              <w:snapToGrid w:val="0"/>
              <w:spacing w:line="560" w:lineRule="exact"/>
              <w:jc w:val="center"/>
              <w:rPr>
                <w:rFonts w:ascii="仿宋" w:hAnsi="仿宋" w:eastAsia="仿宋" w:cstheme="minorEastAsia"/>
                <w:sz w:val="32"/>
                <w:szCs w:val="32"/>
              </w:rPr>
            </w:pPr>
            <w:r>
              <w:rPr>
                <w:rFonts w:hint="eastAsia" w:ascii="仿宋" w:hAnsi="仿宋" w:eastAsia="仿宋" w:cstheme="minorEastAsia"/>
                <w:sz w:val="32"/>
                <w:szCs w:val="32"/>
              </w:rPr>
              <w:t>节能、环境标志、无线局域网产品</w:t>
            </w:r>
          </w:p>
          <w:p>
            <w:pPr>
              <w:adjustRightInd w:val="0"/>
              <w:snapToGrid w:val="0"/>
              <w:spacing w:line="560" w:lineRule="exact"/>
              <w:jc w:val="center"/>
              <w:rPr>
                <w:rFonts w:ascii="仿宋" w:hAnsi="仿宋" w:eastAsia="仿宋" w:cstheme="minorEastAsia"/>
                <w:sz w:val="32"/>
                <w:szCs w:val="32"/>
              </w:rPr>
            </w:pPr>
            <w:r>
              <w:rPr>
                <w:rFonts w:hint="eastAsia" w:ascii="仿宋" w:hAnsi="仿宋" w:eastAsia="仿宋" w:cstheme="minorEastAsia"/>
                <w:sz w:val="32"/>
                <w:szCs w:val="32"/>
              </w:rPr>
              <w:t>（2%）</w:t>
            </w:r>
          </w:p>
        </w:tc>
        <w:tc>
          <w:tcPr>
            <w:tcW w:w="714" w:type="dxa"/>
            <w:vAlign w:val="center"/>
          </w:tcPr>
          <w:p>
            <w:pPr>
              <w:adjustRightInd w:val="0"/>
              <w:snapToGrid w:val="0"/>
              <w:spacing w:line="560" w:lineRule="exact"/>
              <w:jc w:val="center"/>
              <w:rPr>
                <w:rFonts w:ascii="仿宋" w:hAnsi="仿宋" w:eastAsia="仿宋" w:cstheme="minorEastAsia"/>
                <w:sz w:val="32"/>
                <w:szCs w:val="32"/>
              </w:rPr>
            </w:pPr>
            <w:r>
              <w:rPr>
                <w:rFonts w:hint="eastAsia" w:ascii="仿宋" w:hAnsi="仿宋" w:eastAsia="仿宋" w:cstheme="minorEastAsia"/>
                <w:sz w:val="32"/>
                <w:szCs w:val="32"/>
              </w:rPr>
              <w:t>2</w:t>
            </w:r>
          </w:p>
        </w:tc>
        <w:tc>
          <w:tcPr>
            <w:tcW w:w="6095" w:type="dxa"/>
            <w:vAlign w:val="center"/>
          </w:tcPr>
          <w:p>
            <w:pPr>
              <w:widowControl/>
              <w:spacing w:line="560" w:lineRule="exact"/>
              <w:rPr>
                <w:rFonts w:ascii="仿宋" w:hAnsi="仿宋" w:eastAsia="仿宋" w:cstheme="minorEastAsia"/>
                <w:sz w:val="32"/>
                <w:szCs w:val="32"/>
              </w:rPr>
            </w:pPr>
            <w:r>
              <w:rPr>
                <w:rFonts w:hint="eastAsia" w:ascii="仿宋" w:hAnsi="仿宋" w:eastAsia="仿宋" w:cstheme="minorEastAsia"/>
                <w:sz w:val="32"/>
                <w:szCs w:val="32"/>
              </w:rPr>
              <w:t>投标人投标产品中每有一项为节能产品或者环境标志产品或者无线局域网产品政府采购清单中的产品的得1分，非政府采购节能、环境标志产品的、无线局域网产品的不得分。本项最多得2分。</w:t>
            </w:r>
          </w:p>
        </w:tc>
        <w:tc>
          <w:tcPr>
            <w:tcW w:w="1340" w:type="dxa"/>
            <w:vAlign w:val="center"/>
          </w:tcPr>
          <w:p>
            <w:pPr>
              <w:adjustRightInd w:val="0"/>
              <w:snapToGrid w:val="0"/>
              <w:spacing w:line="560" w:lineRule="exact"/>
              <w:rPr>
                <w:rFonts w:ascii="仿宋" w:hAnsi="仿宋" w:eastAsia="仿宋" w:cstheme="minorEastAsia"/>
                <w:sz w:val="32"/>
                <w:szCs w:val="3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368" w:type="dxa"/>
            <w:vAlign w:val="center"/>
          </w:tcPr>
          <w:p>
            <w:pPr>
              <w:adjustRightInd w:val="0"/>
              <w:snapToGrid w:val="0"/>
              <w:spacing w:line="560" w:lineRule="exact"/>
              <w:jc w:val="center"/>
              <w:rPr>
                <w:rFonts w:ascii="仿宋" w:hAnsi="仿宋" w:eastAsia="仿宋" w:cstheme="minorEastAsia"/>
                <w:sz w:val="32"/>
                <w:szCs w:val="32"/>
              </w:rPr>
            </w:pPr>
            <w:r>
              <w:rPr>
                <w:rFonts w:hint="eastAsia" w:ascii="仿宋" w:hAnsi="仿宋" w:eastAsia="仿宋" w:cstheme="minorEastAsia"/>
                <w:sz w:val="32"/>
                <w:szCs w:val="32"/>
              </w:rPr>
              <w:t>5</w:t>
            </w:r>
          </w:p>
        </w:tc>
        <w:tc>
          <w:tcPr>
            <w:tcW w:w="976" w:type="dxa"/>
            <w:vAlign w:val="center"/>
          </w:tcPr>
          <w:p>
            <w:pPr>
              <w:adjustRightInd w:val="0"/>
              <w:snapToGrid w:val="0"/>
              <w:spacing w:line="560" w:lineRule="exact"/>
              <w:jc w:val="center"/>
              <w:rPr>
                <w:rFonts w:ascii="仿宋" w:hAnsi="仿宋" w:eastAsia="仿宋" w:cstheme="minorEastAsia"/>
                <w:sz w:val="32"/>
                <w:szCs w:val="32"/>
              </w:rPr>
            </w:pPr>
            <w:r>
              <w:rPr>
                <w:rFonts w:hint="eastAsia" w:ascii="仿宋" w:hAnsi="仿宋" w:eastAsia="仿宋" w:cstheme="minorEastAsia"/>
                <w:sz w:val="32"/>
                <w:szCs w:val="32"/>
              </w:rPr>
              <w:t>投标文件的规范性（2%）</w:t>
            </w:r>
          </w:p>
        </w:tc>
        <w:tc>
          <w:tcPr>
            <w:tcW w:w="714" w:type="dxa"/>
            <w:vAlign w:val="center"/>
          </w:tcPr>
          <w:p>
            <w:pPr>
              <w:adjustRightInd w:val="0"/>
              <w:snapToGrid w:val="0"/>
              <w:spacing w:line="560" w:lineRule="exact"/>
              <w:jc w:val="center"/>
              <w:rPr>
                <w:rFonts w:ascii="仿宋" w:hAnsi="仿宋" w:eastAsia="仿宋" w:cstheme="minorEastAsia"/>
                <w:sz w:val="32"/>
                <w:szCs w:val="32"/>
              </w:rPr>
            </w:pPr>
            <w:r>
              <w:rPr>
                <w:rFonts w:hint="eastAsia" w:ascii="仿宋" w:hAnsi="仿宋" w:eastAsia="仿宋" w:cstheme="minorEastAsia"/>
                <w:sz w:val="32"/>
                <w:szCs w:val="32"/>
              </w:rPr>
              <w:t>2</w:t>
            </w:r>
          </w:p>
        </w:tc>
        <w:tc>
          <w:tcPr>
            <w:tcW w:w="6095" w:type="dxa"/>
            <w:vAlign w:val="center"/>
          </w:tcPr>
          <w:p>
            <w:pPr>
              <w:widowControl/>
              <w:spacing w:line="560" w:lineRule="exact"/>
              <w:rPr>
                <w:rFonts w:ascii="仿宋" w:hAnsi="仿宋" w:eastAsia="仿宋" w:cstheme="minorEastAsia"/>
                <w:sz w:val="32"/>
                <w:szCs w:val="32"/>
              </w:rPr>
            </w:pPr>
            <w:r>
              <w:rPr>
                <w:rFonts w:hint="eastAsia" w:ascii="仿宋" w:hAnsi="仿宋" w:eastAsia="仿宋" w:cstheme="minorEastAsia"/>
                <w:sz w:val="32"/>
                <w:szCs w:val="32"/>
              </w:rPr>
              <w:t>投标文件制作规范，没有细微偏差情形的得2分；有一项细微偏差扣0.5分，直至该项分值扣完为止</w:t>
            </w:r>
          </w:p>
        </w:tc>
        <w:tc>
          <w:tcPr>
            <w:tcW w:w="1340" w:type="dxa"/>
            <w:vAlign w:val="center"/>
          </w:tcPr>
          <w:p>
            <w:pPr>
              <w:adjustRightInd w:val="0"/>
              <w:snapToGrid w:val="0"/>
              <w:spacing w:line="560" w:lineRule="exact"/>
              <w:rPr>
                <w:rFonts w:ascii="仿宋" w:hAnsi="仿宋" w:eastAsia="仿宋" w:cstheme="minorEastAsia"/>
                <w:sz w:val="32"/>
                <w:szCs w:val="32"/>
              </w:rPr>
            </w:pPr>
            <w:r>
              <w:rPr>
                <w:rFonts w:hint="eastAsia" w:ascii="仿宋" w:hAnsi="仿宋" w:eastAsia="仿宋" w:cstheme="minorEastAsia"/>
                <w:sz w:val="32"/>
                <w:szCs w:val="32"/>
              </w:rPr>
              <w:t>以投标文件为准</w:t>
            </w:r>
          </w:p>
        </w:tc>
      </w:tr>
    </w:tbl>
    <w:p>
      <w:pPr>
        <w:spacing w:line="560" w:lineRule="exact"/>
        <w:rPr>
          <w:rFonts w:ascii="仿宋" w:hAnsi="仿宋" w:eastAsia="仿宋" w:cstheme="minorEastAsia"/>
          <w:sz w:val="32"/>
          <w:szCs w:val="32"/>
        </w:rPr>
      </w:pPr>
    </w:p>
    <w:p>
      <w:bookmarkStart w:id="0" w:name="_GoBack"/>
      <w:bookmarkEnd w:id="0"/>
    </w:p>
    <w:sectPr>
      <w:pgSz w:w="11906" w:h="16838"/>
      <w:pgMar w:top="1440" w:right="127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F688A"/>
    <w:rsid w:val="3D7F6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2019-10-23T09:10:00Z</dcterms:created>
  <dc:creator>Administrator</dc:creator>
  <cp:lastModifiedBy>Administrator</cp:lastModifiedBy>
  <dcterms:modified xsi:type="dcterms:W3CDTF">2019-10-23T09:11:15Z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